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C189B">
      <w:pPr>
        <w:pStyle w:val="3"/>
        <w:keepNext w:val="0"/>
        <w:keepLines w:val="0"/>
        <w:pageBreakBefore w:val="0"/>
        <w:widowControl/>
        <w:kinsoku/>
        <w:wordWrap/>
        <w:overflowPunct/>
        <w:topLinePunct w:val="0"/>
        <w:autoSpaceDE/>
        <w:autoSpaceDN/>
        <w:bidi w:val="0"/>
        <w:adjustRightInd/>
        <w:snapToGrid/>
        <w:spacing w:beforeAutospacing="0" w:afterAutospacing="0" w:line="500" w:lineRule="exact"/>
        <w:ind w:right="-386" w:firstLine="440" w:firstLineChars="10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福州市第一总医院皮肤病防治院</w:t>
      </w:r>
      <w:r>
        <w:rPr>
          <w:rFonts w:hint="eastAsia" w:ascii="黑体" w:hAnsi="黑体" w:eastAsia="黑体" w:cs="黑体"/>
          <w:sz w:val="44"/>
          <w:szCs w:val="44"/>
        </w:rPr>
        <w:t>视频监控</w:t>
      </w:r>
      <w:r>
        <w:rPr>
          <w:rFonts w:hint="eastAsia" w:ascii="黑体" w:hAnsi="黑体" w:eastAsia="黑体" w:cs="黑体"/>
          <w:sz w:val="44"/>
          <w:szCs w:val="44"/>
          <w:lang w:eastAsia="zh-CN"/>
        </w:rPr>
        <w:t>、报警设备维保</w:t>
      </w:r>
      <w:r>
        <w:rPr>
          <w:rFonts w:hint="eastAsia" w:ascii="黑体" w:hAnsi="黑体" w:eastAsia="黑体" w:cs="黑体"/>
          <w:sz w:val="44"/>
          <w:szCs w:val="44"/>
        </w:rPr>
        <w:t>服务</w:t>
      </w:r>
      <w:r>
        <w:rPr>
          <w:rFonts w:hint="eastAsia" w:ascii="黑体" w:hAnsi="黑体" w:eastAsia="黑体" w:cs="黑体"/>
          <w:sz w:val="44"/>
          <w:szCs w:val="44"/>
          <w:lang w:eastAsia="zh-CN"/>
        </w:rPr>
        <w:t>采购需求说明</w:t>
      </w:r>
    </w:p>
    <w:p w14:paraId="0B7B8B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14:paraId="1EBFC2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28"/>
          <w:szCs w:val="28"/>
          <w:lang w:eastAsia="zh-CN"/>
        </w:rPr>
      </w:pPr>
      <w:r>
        <w:rPr>
          <w:rFonts w:hint="eastAsia" w:ascii="仿宋" w:hAnsi="仿宋" w:eastAsia="仿宋" w:cs="仿宋"/>
          <w:sz w:val="32"/>
          <w:szCs w:val="32"/>
        </w:rPr>
        <w:t>为保证福州市</w:t>
      </w:r>
      <w:r>
        <w:rPr>
          <w:rFonts w:hint="eastAsia" w:ascii="仿宋" w:hAnsi="仿宋" w:eastAsia="仿宋" w:cs="仿宋"/>
          <w:sz w:val="32"/>
          <w:szCs w:val="32"/>
          <w:lang w:eastAsia="zh-CN"/>
        </w:rPr>
        <w:t>第一总医院</w:t>
      </w:r>
      <w:r>
        <w:rPr>
          <w:rFonts w:hint="eastAsia" w:ascii="仿宋" w:hAnsi="仿宋" w:eastAsia="仿宋" w:cs="仿宋"/>
          <w:sz w:val="32"/>
          <w:szCs w:val="32"/>
        </w:rPr>
        <w:t>皮肤病</w:t>
      </w:r>
      <w:r>
        <w:rPr>
          <w:rFonts w:hint="eastAsia" w:ascii="仿宋" w:hAnsi="仿宋" w:eastAsia="仿宋" w:cs="仿宋"/>
          <w:sz w:val="32"/>
          <w:szCs w:val="32"/>
          <w:lang w:eastAsia="zh-CN"/>
        </w:rPr>
        <w:t>防治</w:t>
      </w:r>
      <w:r>
        <w:rPr>
          <w:rFonts w:hint="eastAsia" w:ascii="仿宋" w:hAnsi="仿宋" w:eastAsia="仿宋" w:cs="仿宋"/>
          <w:sz w:val="32"/>
          <w:szCs w:val="32"/>
        </w:rPr>
        <w:t>院</w:t>
      </w:r>
      <w:r>
        <w:rPr>
          <w:rFonts w:hint="eastAsia" w:ascii="仿宋" w:hAnsi="仿宋" w:eastAsia="仿宋" w:cs="仿宋"/>
          <w:sz w:val="32"/>
          <w:szCs w:val="32"/>
          <w:lang w:eastAsia="zh-CN"/>
        </w:rPr>
        <w:t>（含南院）视频监控、一键报警、广播、门禁等系统</w:t>
      </w:r>
      <w:r>
        <w:rPr>
          <w:rFonts w:hint="eastAsia" w:ascii="仿宋" w:hAnsi="仿宋" w:eastAsia="仿宋" w:cs="仿宋"/>
          <w:sz w:val="32"/>
          <w:szCs w:val="32"/>
        </w:rPr>
        <w:t>能处于正常运行状态</w:t>
      </w:r>
      <w:r>
        <w:rPr>
          <w:rFonts w:hint="eastAsia" w:ascii="仿宋" w:hAnsi="仿宋" w:eastAsia="仿宋" w:cs="仿宋"/>
          <w:sz w:val="32"/>
          <w:szCs w:val="32"/>
          <w:lang w:eastAsia="zh-CN"/>
        </w:rPr>
        <w:t>，特开展本项目维保内容三家比价，最高限价人民币</w:t>
      </w:r>
      <w:r>
        <w:rPr>
          <w:rFonts w:hint="eastAsia" w:ascii="仿宋" w:hAnsi="仿宋" w:eastAsia="仿宋" w:cs="仿宋"/>
          <w:sz w:val="32"/>
          <w:szCs w:val="32"/>
          <w:lang w:val="en-US" w:eastAsia="zh-CN"/>
        </w:rPr>
        <w:t>4.8万元，服务期限一年，超过最高限价为无效投标。</w:t>
      </w:r>
    </w:p>
    <w:p w14:paraId="13C3BDBC">
      <w:pPr>
        <w:pStyle w:val="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181" w:right="-386"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项目基本情况</w:t>
      </w:r>
    </w:p>
    <w:p w14:paraId="649B21C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1、采购单位：福州市第一总医院皮肤病防治院</w:t>
      </w:r>
    </w:p>
    <w:p w14:paraId="4D0B596D">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2、项目名称：视频监控、报警设备维保</w:t>
      </w:r>
      <w:bookmarkStart w:id="0" w:name="_GoBack"/>
      <w:bookmarkEnd w:id="0"/>
    </w:p>
    <w:p w14:paraId="5EE596B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3、皮肤病防治院及皮肤病防治院南院院区合计监控维保服务采购总建筑面积94593.83</w:t>
      </w:r>
      <w:r>
        <w:rPr>
          <w:rFonts w:hint="eastAsia" w:ascii="仿宋" w:hAnsi="仿宋" w:eastAsia="仿宋" w:cs="仿宋"/>
          <w:sz w:val="28"/>
          <w:szCs w:val="28"/>
          <w:lang w:eastAsia="zh-CN"/>
        </w:rPr>
        <w:t>m²</w:t>
      </w:r>
      <w:r>
        <w:rPr>
          <w:rFonts w:hint="eastAsia" w:ascii="仿宋" w:hAnsi="仿宋" w:eastAsia="仿宋" w:cs="仿宋"/>
          <w:sz w:val="28"/>
          <w:szCs w:val="28"/>
          <w:lang w:val="en-US" w:eastAsia="zh-CN"/>
        </w:rPr>
        <w:t>，院区的具体情况如下：</w:t>
      </w:r>
    </w:p>
    <w:tbl>
      <w:tblPr>
        <w:tblStyle w:val="5"/>
        <w:tblW w:w="888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965"/>
        <w:gridCol w:w="1455"/>
        <w:gridCol w:w="4125"/>
      </w:tblGrid>
      <w:tr w14:paraId="4B9F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42" w:type="dxa"/>
            <w:vAlign w:val="center"/>
          </w:tcPr>
          <w:p w14:paraId="60AAA849">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jc w:val="center"/>
              <w:textAlignment w:val="auto"/>
              <w:rPr>
                <w:rFonts w:hint="default"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院区名称</w:t>
            </w:r>
          </w:p>
        </w:tc>
        <w:tc>
          <w:tcPr>
            <w:tcW w:w="1965" w:type="dxa"/>
            <w:vAlign w:val="center"/>
          </w:tcPr>
          <w:p w14:paraId="6AA55A7D">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jc w:val="center"/>
              <w:textAlignment w:val="auto"/>
              <w:rPr>
                <w:rFonts w:hint="default"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地址</w:t>
            </w:r>
          </w:p>
        </w:tc>
        <w:tc>
          <w:tcPr>
            <w:tcW w:w="1455" w:type="dxa"/>
            <w:vAlign w:val="center"/>
          </w:tcPr>
          <w:p w14:paraId="7E4DC3FD">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jc w:val="center"/>
              <w:textAlignment w:val="auto"/>
              <w:rPr>
                <w:rFonts w:hint="default"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总建筑面积</w:t>
            </w:r>
            <w:r>
              <w:rPr>
                <w:rFonts w:ascii="Segoe UI" w:hAnsi="Segoe UI" w:eastAsia="Segoe UI" w:cs="Segoe UI"/>
                <w:b w:val="0"/>
                <w:bCs/>
                <w:i w:val="0"/>
                <w:caps w:val="0"/>
                <w:color w:val="404040"/>
                <w:spacing w:val="0"/>
                <w:sz w:val="28"/>
                <w:szCs w:val="28"/>
              </w:rPr>
              <w:t>（m²）</w:t>
            </w:r>
          </w:p>
        </w:tc>
        <w:tc>
          <w:tcPr>
            <w:tcW w:w="4125" w:type="dxa"/>
            <w:vAlign w:val="center"/>
          </w:tcPr>
          <w:p w14:paraId="50A1F3A2">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jc w:val="center"/>
              <w:textAlignment w:val="auto"/>
              <w:rPr>
                <w:rFonts w:hint="default"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楼栋建筑面积（</w:t>
            </w:r>
            <w:r>
              <w:rPr>
                <w:rFonts w:ascii="Segoe UI" w:hAnsi="Segoe UI" w:eastAsia="Segoe UI" w:cs="Segoe UI"/>
                <w:b w:val="0"/>
                <w:bCs/>
                <w:i w:val="0"/>
                <w:caps w:val="0"/>
                <w:color w:val="404040"/>
                <w:spacing w:val="0"/>
                <w:sz w:val="28"/>
                <w:szCs w:val="28"/>
              </w:rPr>
              <w:t>m²</w:t>
            </w: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w:t>
            </w:r>
          </w:p>
        </w:tc>
      </w:tr>
      <w:tr w14:paraId="4247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351F0646">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default"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皮肤病防治院</w:t>
            </w:r>
          </w:p>
        </w:tc>
        <w:tc>
          <w:tcPr>
            <w:tcW w:w="1965" w:type="dxa"/>
            <w:vAlign w:val="center"/>
          </w:tcPr>
          <w:p w14:paraId="43C36499">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福州市鼓楼区西洪路243号</w:t>
            </w:r>
          </w:p>
        </w:tc>
        <w:tc>
          <w:tcPr>
            <w:tcW w:w="1455" w:type="dxa"/>
            <w:vAlign w:val="center"/>
          </w:tcPr>
          <w:p w14:paraId="14C5D972">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18594.83</w:t>
            </w:r>
          </w:p>
        </w:tc>
        <w:tc>
          <w:tcPr>
            <w:tcW w:w="4125" w:type="dxa"/>
            <w:vAlign w:val="center"/>
          </w:tcPr>
          <w:p w14:paraId="757F217E">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default" w:ascii="仿宋_GB2312" w:hAnsi="none" w:eastAsia="仿宋_GB2312" w:cs="仿宋_GB2312"/>
                <w:i w:val="0"/>
                <w:iCs w:val="0"/>
                <w:caps w:val="0"/>
                <w:color w:val="333333"/>
                <w:spacing w:val="0"/>
                <w:kern w:val="0"/>
                <w:sz w:val="28"/>
                <w:szCs w:val="28"/>
                <w:shd w:val="clear" w:color="auto" w:fill="FFFFFF"/>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lang w:val="en-US" w:eastAsia="zh-CN" w:bidi="ar"/>
              </w:rPr>
              <w:t>医技楼：13482.83综合楼：5112；1号楼146个视频监控、2号楼93个视频监控。</w:t>
            </w:r>
          </w:p>
        </w:tc>
      </w:tr>
      <w:tr w14:paraId="53A1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342" w:type="dxa"/>
            <w:vAlign w:val="center"/>
          </w:tcPr>
          <w:p w14:paraId="660FC4E3">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default"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皮肤病防治院南院</w:t>
            </w:r>
          </w:p>
        </w:tc>
        <w:tc>
          <w:tcPr>
            <w:tcW w:w="1965" w:type="dxa"/>
            <w:vAlign w:val="center"/>
          </w:tcPr>
          <w:p w14:paraId="1586DECD">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福州市仓山区城门洲路29号</w:t>
            </w:r>
          </w:p>
        </w:tc>
        <w:tc>
          <w:tcPr>
            <w:tcW w:w="1455" w:type="dxa"/>
            <w:vAlign w:val="center"/>
          </w:tcPr>
          <w:p w14:paraId="4D0567E7">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75999</w:t>
            </w:r>
          </w:p>
        </w:tc>
        <w:tc>
          <w:tcPr>
            <w:tcW w:w="4125" w:type="dxa"/>
            <w:vAlign w:val="center"/>
          </w:tcPr>
          <w:p w14:paraId="05DF9B7C">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rightChars="0"/>
              <w:jc w:val="center"/>
              <w:textAlignment w:val="auto"/>
              <w:rPr>
                <w:rFonts w:hint="default" w:ascii="仿宋_GB2312" w:hAnsi="none" w:eastAsia="仿宋_GB2312" w:cs="仿宋_GB2312"/>
                <w:i w:val="0"/>
                <w:iCs w:val="0"/>
                <w:caps w:val="0"/>
                <w:color w:val="333333"/>
                <w:spacing w:val="0"/>
                <w:kern w:val="0"/>
                <w:sz w:val="28"/>
                <w:szCs w:val="28"/>
                <w:shd w:val="clear" w:color="auto" w:fill="FFFFFF"/>
                <w:lang w:val="en-US" w:eastAsia="zh-CN" w:bidi="ar"/>
              </w:rPr>
            </w:pPr>
            <w:r>
              <w:rPr>
                <w:rFonts w:hint="eastAsia" w:ascii="仿宋_GB2312" w:hAnsi="none" w:eastAsia="仿宋_GB2312" w:cs="仿宋_GB2312"/>
                <w:i w:val="0"/>
                <w:iCs w:val="0"/>
                <w:caps w:val="0"/>
                <w:color w:val="333333"/>
                <w:spacing w:val="0"/>
                <w:kern w:val="0"/>
                <w:sz w:val="28"/>
                <w:szCs w:val="28"/>
                <w:shd w:val="clear" w:color="auto" w:fill="FFFFFF"/>
                <w:lang w:val="en-US" w:eastAsia="zh-CN" w:bidi="ar"/>
              </w:rPr>
              <w:t>急诊楼、门诊楼、行政楼、住院楼：75999；612个视频监控。</w:t>
            </w:r>
          </w:p>
        </w:tc>
      </w:tr>
      <w:tr w14:paraId="19AB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7" w:type="dxa"/>
            <w:gridSpan w:val="2"/>
            <w:vAlign w:val="center"/>
          </w:tcPr>
          <w:p w14:paraId="218B409F">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jc w:val="center"/>
              <w:textAlignment w:val="auto"/>
              <w:rPr>
                <w:rFonts w:hint="eastAsia" w:ascii="仿宋_GB2312" w:hAnsi="none" w:eastAsia="仿宋_GB2312" w:cs="仿宋_GB2312"/>
                <w:i w:val="0"/>
                <w:iCs w:val="0"/>
                <w:caps w:val="0"/>
                <w:color w:val="333333"/>
                <w:spacing w:val="0"/>
                <w:kern w:val="0"/>
                <w:sz w:val="28"/>
                <w:szCs w:val="28"/>
                <w:shd w:val="clear" w:color="auto" w:fill="FFFFFF"/>
                <w:lang w:val="en-US" w:eastAsia="zh-CN" w:bidi="ar"/>
              </w:rPr>
            </w:pPr>
            <w:r>
              <w:rPr>
                <w:rFonts w:hint="eastAsia" w:ascii="仿宋_GB2312" w:hAnsi="none" w:eastAsia="仿宋_GB2312" w:cs="仿宋_GB2312"/>
                <w:i w:val="0"/>
                <w:iCs w:val="0"/>
                <w:caps w:val="0"/>
                <w:color w:val="auto"/>
                <w:spacing w:val="0"/>
                <w:kern w:val="0"/>
                <w:sz w:val="28"/>
                <w:szCs w:val="28"/>
                <w:shd w:val="clear" w:color="auto" w:fill="FFFFFF"/>
                <w:vertAlign w:val="baseline"/>
                <w:lang w:val="en-US" w:eastAsia="zh-CN" w:bidi="ar"/>
              </w:rPr>
              <w:t>合计维保总建筑面积（m²）</w:t>
            </w:r>
          </w:p>
        </w:tc>
        <w:tc>
          <w:tcPr>
            <w:tcW w:w="5580" w:type="dxa"/>
            <w:gridSpan w:val="2"/>
            <w:vAlign w:val="center"/>
          </w:tcPr>
          <w:p w14:paraId="4CE70C9B">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40" w:lineRule="exact"/>
              <w:ind w:right="0"/>
              <w:jc w:val="center"/>
              <w:textAlignment w:val="auto"/>
              <w:rPr>
                <w:rFonts w:hint="default" w:ascii="Segoe UI" w:hAnsi="Segoe UI" w:eastAsia="宋体" w:cs="Segoe UI"/>
                <w:i w:val="0"/>
                <w:caps w:val="0"/>
                <w:color w:val="404040"/>
                <w:spacing w:val="0"/>
                <w:sz w:val="28"/>
                <w:szCs w:val="28"/>
                <w:lang w:val="en-US" w:eastAsia="zh-CN"/>
              </w:rPr>
            </w:pPr>
            <w:r>
              <w:rPr>
                <w:rFonts w:hint="eastAsia" w:ascii="仿宋_GB2312" w:hAnsi="none" w:eastAsia="仿宋_GB2312" w:cs="仿宋_GB2312"/>
                <w:i w:val="0"/>
                <w:iCs w:val="0"/>
                <w:caps w:val="0"/>
                <w:color w:val="333333"/>
                <w:spacing w:val="0"/>
                <w:kern w:val="0"/>
                <w:sz w:val="28"/>
                <w:szCs w:val="28"/>
                <w:shd w:val="clear" w:color="auto" w:fill="FFFFFF"/>
                <w:vertAlign w:val="baseline"/>
                <w:lang w:val="en-US" w:eastAsia="zh-CN" w:bidi="ar"/>
              </w:rPr>
              <w:t>94593.83</w:t>
            </w:r>
          </w:p>
        </w:tc>
      </w:tr>
    </w:tbl>
    <w:p w14:paraId="3A94399F">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right="-386" w:rightChars="0"/>
        <w:textAlignment w:val="auto"/>
        <w:rPr>
          <w:rFonts w:hint="default" w:ascii="仿宋" w:hAnsi="仿宋" w:eastAsia="仿宋" w:cs="仿宋"/>
          <w:sz w:val="28"/>
          <w:szCs w:val="28"/>
          <w:lang w:val="en-US" w:eastAsia="zh-CN"/>
        </w:rPr>
      </w:pPr>
    </w:p>
    <w:p w14:paraId="1751E32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系统运维范围</w:t>
      </w:r>
    </w:p>
    <w:p w14:paraId="14F4B567">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视频监控系统：确保视频监控系统正常运行，确保前端设备、系统功能控制、监视功能、记录回放功能、报警联动功能、图像功能等工作正常；确保视频监控系统预留接口工作正常。视频监控系统维护的设备主要包括：摄像机、监视器、视频管理服务器、数据管理服务器、存储和硬盘；要求定期对视频监控系统的前端设备和线路进行检查，对故障视频监控的终端设备及时检修，并更换故障设备；对发生的线路和接头故障及时处理；定期巡检摄像机电源、视频接口巩固锁紧、防护罩灰尘的清洁、摄像机支架方位的调整、高速球控制协议的校正、解码控制器的校正。定期查看监控系统核心设备的运行日志，及时发现问题予以解决。</w:t>
      </w:r>
    </w:p>
    <w:p w14:paraId="6D40334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门禁系统：定期检查门禁主机工作状态，门禁的出门按钮、电控锁、磁力锁、闭门器是否正常及门是否正常开启。对发生的故障及时定位、更换备件；对发生的线路和接头故障及时处理；定期查看门禁管理软件的运行日志，及时发现问题。</w:t>
      </w:r>
    </w:p>
    <w:p w14:paraId="265A4C8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广播系统：定期对公共广播系统的主机、网络前置、功放、音箱终端硬件进行检查，对广播系统主机的软件故障及时处理，对前置、功放等配置进行调整。保障与消防联动衔接，对发生的线路和接头故障及时处理。</w:t>
      </w:r>
    </w:p>
    <w:p w14:paraId="2089A40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一键报警系统：定期对一键报警系统的报警主机、一键报警器进行检查，进行保养与运维。</w:t>
      </w:r>
    </w:p>
    <w:p w14:paraId="2CA9D6FC">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若医院因局部修缮等原因，需将个别设备拆装，乙方应配合拆装。</w:t>
      </w:r>
    </w:p>
    <w:p w14:paraId="7CCF32C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运维内容</w:t>
      </w:r>
    </w:p>
    <w:p w14:paraId="172D2BD3">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前端监控系统运维内容</w:t>
      </w:r>
    </w:p>
    <w:p w14:paraId="3F28B5A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每月固定时间对前端视频监控系统设备进行巡检；</w:t>
      </w:r>
    </w:p>
    <w:p w14:paraId="1A5E652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每月巡检时对云台“上、下、左、右”控制方式进行巡检； </w:t>
      </w:r>
    </w:p>
    <w:p w14:paraId="718BFF1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每月巡检时查看各单位前端网络在线或离线状。 </w:t>
      </w:r>
    </w:p>
    <w:p w14:paraId="7FD7655E">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监控存储系统运维内容</w:t>
      </w:r>
    </w:p>
    <w:p w14:paraId="1D054568">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每月巡检时对硬盘录像机控制情况进行巡检；</w:t>
      </w:r>
    </w:p>
    <w:p w14:paraId="3A5B8AA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每月巡检时对硬盘录像机预览、录像时间以及回放应情况进行抽查巡检；</w:t>
      </w:r>
    </w:p>
    <w:p w14:paraId="3D5C13AA">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每月巡检时查看各单位硬盘录像机在线或离线状；</w:t>
      </w:r>
    </w:p>
    <w:p w14:paraId="21FF4BE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每月巡检时查看各单位硬盘告警情况。</w:t>
      </w:r>
    </w:p>
    <w:p w14:paraId="5E5505CA">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监控管理平台运维内容</w:t>
      </w:r>
    </w:p>
    <w:p w14:paraId="5430E3C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每月巡检时对监控管理平台进行清洁；</w:t>
      </w:r>
    </w:p>
    <w:p w14:paraId="4739BCD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每月巡检时确认监控管理平台各子系统功能有效；</w:t>
      </w:r>
    </w:p>
    <w:p w14:paraId="44393DD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每月巡检时对流媒体服务器进行清洁；</w:t>
      </w:r>
    </w:p>
    <w:p w14:paraId="2603774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每月巡检时确认流媒体服务器系统功能有效；</w:t>
      </w:r>
    </w:p>
    <w:p w14:paraId="19E605AA">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每月巡检时确认监控图形工作站系统功能有效。</w:t>
      </w:r>
    </w:p>
    <w:p w14:paraId="39A0260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门禁系统运维内容</w:t>
      </w:r>
    </w:p>
    <w:p w14:paraId="20CC336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每月固定时间对门禁设备进行现场巡查；</w:t>
      </w:r>
    </w:p>
    <w:p w14:paraId="66E3B0A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每月固定查看门禁系统是否正常及门是否正常开启；</w:t>
      </w:r>
    </w:p>
    <w:p w14:paraId="368EB74F">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 xml:space="preserve">定期查看门禁管理软件的运行日志，及时发现问题。 </w:t>
      </w:r>
    </w:p>
    <w:p w14:paraId="659BB8E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广播系统运维内容</w:t>
      </w:r>
    </w:p>
    <w:p w14:paraId="3FA5AD4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每月固定对广播系统的主机、网络前置、功放、音箱终端硬件进行巡检；</w:t>
      </w:r>
    </w:p>
    <w:p w14:paraId="125A2198">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每月巡检时确认与消防联动衔接。</w:t>
      </w:r>
    </w:p>
    <w:p w14:paraId="383A132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一键报警系统运维内容</w:t>
      </w:r>
    </w:p>
    <w:p w14:paraId="2A8A61F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每月固定对报警主机、报警键盘、一键报警设备进行巡检；</w:t>
      </w:r>
    </w:p>
    <w:p w14:paraId="69915A54">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每月巡检时确认布防、撤防、报警联动制功能有效性。</w:t>
      </w:r>
    </w:p>
    <w:p w14:paraId="0133209C">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firstLine="560" w:firstLineChars="200"/>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维保服务要求</w:t>
      </w:r>
    </w:p>
    <w:p w14:paraId="29967E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color w:val="auto"/>
          <w:sz w:val="28"/>
          <w:szCs w:val="28"/>
          <w:highlight w:val="none"/>
        </w:rPr>
        <w:t>维保方负责上述所有安防监控设备及整套系统的维护保养，保证该系统安全有效，有关技术规范</w:t>
      </w:r>
      <w:r>
        <w:rPr>
          <w:rFonts w:hint="eastAsia" w:ascii="方正仿宋_GB2312" w:hAnsi="方正仿宋_GB2312" w:eastAsia="方正仿宋_GB2312" w:cs="方正仿宋_GB2312"/>
          <w:color w:val="auto"/>
          <w:sz w:val="28"/>
          <w:szCs w:val="28"/>
          <w:highlight w:val="none"/>
          <w:lang w:val="en-US" w:eastAsia="zh-CN"/>
        </w:rPr>
        <w:t>应</w:t>
      </w:r>
      <w:r>
        <w:rPr>
          <w:rFonts w:hint="eastAsia" w:ascii="方正仿宋_GB2312" w:hAnsi="方正仿宋_GB2312" w:eastAsia="方正仿宋_GB2312" w:cs="方正仿宋_GB2312"/>
          <w:color w:val="auto"/>
          <w:sz w:val="28"/>
          <w:szCs w:val="28"/>
          <w:highlight w:val="none"/>
        </w:rPr>
        <w:t>符合相关规定，项目维护范围</w:t>
      </w:r>
      <w:r>
        <w:rPr>
          <w:rFonts w:hint="eastAsia" w:ascii="方正仿宋_GB2312" w:hAnsi="方正仿宋_GB2312" w:eastAsia="方正仿宋_GB2312" w:cs="方正仿宋_GB2312"/>
          <w:color w:val="auto"/>
          <w:sz w:val="28"/>
          <w:szCs w:val="28"/>
          <w:highlight w:val="none"/>
          <w:lang w:val="en-US" w:eastAsia="zh-CN"/>
        </w:rPr>
        <w:t>包括</w:t>
      </w:r>
      <w:r>
        <w:rPr>
          <w:rFonts w:hint="eastAsia" w:ascii="方正仿宋_GB2312" w:hAnsi="方正仿宋_GB2312" w:eastAsia="方正仿宋_GB2312" w:cs="方正仿宋_GB2312"/>
          <w:color w:val="auto"/>
          <w:sz w:val="28"/>
          <w:szCs w:val="28"/>
          <w:highlight w:val="none"/>
        </w:rPr>
        <w:t>负责维保范围内所有设备系统中设备支架、电源箱、</w:t>
      </w:r>
      <w:r>
        <w:rPr>
          <w:rFonts w:hint="eastAsia" w:ascii="方正仿宋_GB2312" w:hAnsi="方正仿宋_GB2312" w:eastAsia="方正仿宋_GB2312" w:cs="方正仿宋_GB2312"/>
          <w:color w:val="auto"/>
          <w:sz w:val="28"/>
          <w:szCs w:val="28"/>
          <w:highlight w:val="none"/>
          <w:lang w:val="en-US" w:eastAsia="zh-CN"/>
        </w:rPr>
        <w:t>开关</w:t>
      </w:r>
      <w:r>
        <w:rPr>
          <w:rFonts w:hint="eastAsia" w:ascii="方正仿宋_GB2312" w:hAnsi="方正仿宋_GB2312" w:eastAsia="方正仿宋_GB2312" w:cs="方正仿宋_GB2312"/>
          <w:color w:val="auto"/>
          <w:sz w:val="28"/>
          <w:szCs w:val="28"/>
          <w:highlight w:val="none"/>
        </w:rPr>
        <w:t>电源、</w:t>
      </w:r>
      <w:r>
        <w:rPr>
          <w:rFonts w:hint="eastAsia" w:ascii="方正仿宋_GB2312" w:hAnsi="方正仿宋_GB2312" w:eastAsia="方正仿宋_GB2312" w:cs="方正仿宋_GB2312"/>
          <w:color w:val="auto"/>
          <w:sz w:val="28"/>
          <w:szCs w:val="28"/>
          <w:highlight w:val="none"/>
          <w:lang w:val="en-US" w:eastAsia="zh-CN"/>
        </w:rPr>
        <w:t>电源适配器、</w:t>
      </w:r>
      <w:r>
        <w:rPr>
          <w:rFonts w:hint="eastAsia" w:ascii="方正仿宋_GB2312" w:hAnsi="方正仿宋_GB2312" w:eastAsia="方正仿宋_GB2312" w:cs="方正仿宋_GB2312"/>
          <w:color w:val="auto"/>
          <w:sz w:val="28"/>
          <w:szCs w:val="28"/>
          <w:highlight w:val="none"/>
        </w:rPr>
        <w:t>电源线插头、管扣、扎带、胶布、插座、水晶头、螺丝、视频线、USB线、鼠标、键盘、转换器、一键报警按钮</w:t>
      </w:r>
      <w:r>
        <w:rPr>
          <w:rFonts w:hint="eastAsia" w:ascii="方正仿宋_GB2312" w:hAnsi="方正仿宋_GB2312" w:eastAsia="方正仿宋_GB2312" w:cs="方正仿宋_GB2312"/>
          <w:color w:val="auto"/>
          <w:sz w:val="28"/>
          <w:szCs w:val="28"/>
          <w:highlight w:val="none"/>
          <w:lang w:val="en-US" w:eastAsia="zh-CN"/>
        </w:rPr>
        <w:t>及一百元以内的</w:t>
      </w:r>
      <w:r>
        <w:rPr>
          <w:rFonts w:hint="eastAsia" w:ascii="方正仿宋_GB2312" w:hAnsi="方正仿宋_GB2312" w:eastAsia="方正仿宋_GB2312" w:cs="方正仿宋_GB2312"/>
          <w:color w:val="auto"/>
          <w:sz w:val="28"/>
          <w:szCs w:val="28"/>
          <w:highlight w:val="none"/>
        </w:rPr>
        <w:t>辅材和小配件的免费提供</w:t>
      </w:r>
      <w:r>
        <w:rPr>
          <w:rFonts w:hint="eastAsia" w:ascii="方正仿宋_GB2312" w:hAnsi="方正仿宋_GB2312" w:eastAsia="方正仿宋_GB2312" w:cs="方正仿宋_GB2312"/>
          <w:color w:val="auto"/>
          <w:sz w:val="28"/>
          <w:szCs w:val="28"/>
          <w:highlight w:val="none"/>
          <w:lang w:val="en-US" w:eastAsia="zh-CN"/>
        </w:rPr>
        <w:t>和施工安装。</w:t>
      </w:r>
    </w:p>
    <w:p w14:paraId="60DF7AA1">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2" w:firstLineChars="2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运维服务响应及应急处理要求</w:t>
      </w:r>
    </w:p>
    <w:p w14:paraId="5AE47992">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运维服务响应要求</w:t>
      </w:r>
    </w:p>
    <w:p w14:paraId="2C0BB91B">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要求每月对系统和关键设备进行巡检，编制巡检报告并提供给医院。</w:t>
      </w:r>
    </w:p>
    <w:p w14:paraId="6AB7CC3A">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要求运维服务期内对设备进行安检、除尘保洁等维护，对系统进行优化等。</w:t>
      </w:r>
    </w:p>
    <w:p w14:paraId="7AD13650">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服务期内，要求设立7×24小时服务电话，受理医院的系统故障申告与技术咨询。乙方在收到医院的系统故障申告后，按要求及时解决故障（故障级别定义与服务具体要求见下表）</w:t>
      </w:r>
    </w:p>
    <w:p w14:paraId="2632EC3C">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故障级别定义与服务的具体要求如下表：</w:t>
      </w:r>
    </w:p>
    <w:tbl>
      <w:tblPr>
        <w:tblStyle w:val="4"/>
        <w:tblpPr w:leftFromText="180" w:rightFromText="180" w:vertAnchor="text" w:tblpXSpec="center" w:tblpY="422"/>
        <w:tblW w:w="1007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691"/>
        <w:gridCol w:w="1419"/>
        <w:gridCol w:w="1845"/>
        <w:gridCol w:w="3123"/>
      </w:tblGrid>
      <w:tr w14:paraId="103A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7" w:hRule="atLeast"/>
          <w:tblCellSpacing w:w="15" w:type="dxa"/>
        </w:trPr>
        <w:tc>
          <w:tcPr>
            <w:tcW w:w="3646" w:type="dxa"/>
            <w:tcMar>
              <w:top w:w="0" w:type="dxa"/>
              <w:left w:w="60" w:type="dxa"/>
              <w:bottom w:w="0" w:type="dxa"/>
              <w:right w:w="60" w:type="dxa"/>
            </w:tcMar>
            <w:vAlign w:val="center"/>
          </w:tcPr>
          <w:p w14:paraId="30AABD3E">
            <w:pPr>
              <w:pStyle w:val="3"/>
              <w:keepNext w:val="0"/>
              <w:keepLines w:val="0"/>
              <w:pageBreakBefore w:val="0"/>
              <w:shd w:val="clear" w:color="auto" w:fill="FFFFFF"/>
              <w:wordWrap/>
              <w:overflowPunct/>
              <w:topLinePunct w:val="0"/>
              <w:bidi w:val="0"/>
              <w:spacing w:before="75" w:beforeAutospacing="0" w:after="75" w:afterAutospacing="0" w:line="560" w:lineRule="exact"/>
              <w:ind w:right="-383" w:firstLine="480" w:firstLineChars="200"/>
              <w:rPr>
                <w:rFonts w:ascii="宋体" w:hAnsi="宋体" w:cs="宋体"/>
                <w:color w:val="000000"/>
                <w:shd w:val="clear" w:color="auto" w:fill="FFFFFF"/>
              </w:rPr>
            </w:pPr>
            <w:r>
              <w:rPr>
                <w:rFonts w:hint="eastAsia" w:ascii="宋体" w:hAnsi="宋体" w:cs="宋体"/>
                <w:color w:val="000000"/>
                <w:shd w:val="clear" w:color="auto" w:fill="FFFFFF"/>
              </w:rPr>
              <w:t>故障级别</w:t>
            </w:r>
          </w:p>
        </w:tc>
        <w:tc>
          <w:tcPr>
            <w:tcW w:w="1389" w:type="dxa"/>
            <w:tcMar>
              <w:top w:w="0" w:type="dxa"/>
              <w:left w:w="60" w:type="dxa"/>
              <w:bottom w:w="0" w:type="dxa"/>
              <w:right w:w="60" w:type="dxa"/>
            </w:tcMar>
            <w:vAlign w:val="center"/>
          </w:tcPr>
          <w:p w14:paraId="7570E91A">
            <w:pPr>
              <w:pStyle w:val="3"/>
              <w:keepNext w:val="0"/>
              <w:keepLines w:val="0"/>
              <w:pageBreakBefore w:val="0"/>
              <w:shd w:val="clear" w:color="auto" w:fill="FFFFFF"/>
              <w:wordWrap/>
              <w:overflowPunct/>
              <w:topLinePunct w:val="0"/>
              <w:bidi w:val="0"/>
              <w:spacing w:before="75" w:beforeAutospacing="0" w:after="75" w:afterAutospacing="0" w:line="560" w:lineRule="exact"/>
              <w:ind w:right="-383"/>
              <w:jc w:val="both"/>
              <w:rPr>
                <w:rFonts w:ascii="宋体" w:hAnsi="宋体" w:cs="宋体"/>
                <w:color w:val="000000"/>
                <w:shd w:val="clear" w:color="auto" w:fill="FFFFFF"/>
              </w:rPr>
            </w:pPr>
            <w:r>
              <w:rPr>
                <w:rFonts w:hint="eastAsia" w:ascii="宋体" w:hAnsi="宋体" w:cs="宋体"/>
                <w:color w:val="000000"/>
                <w:shd w:val="clear" w:color="auto" w:fill="FFFFFF"/>
              </w:rPr>
              <w:t>到场时间</w:t>
            </w:r>
          </w:p>
        </w:tc>
        <w:tc>
          <w:tcPr>
            <w:tcW w:w="1815" w:type="dxa"/>
            <w:tcMar>
              <w:top w:w="0" w:type="dxa"/>
              <w:left w:w="60" w:type="dxa"/>
              <w:bottom w:w="0" w:type="dxa"/>
              <w:right w:w="60" w:type="dxa"/>
            </w:tcMar>
            <w:vAlign w:val="center"/>
          </w:tcPr>
          <w:p w14:paraId="71D258DE">
            <w:pPr>
              <w:pStyle w:val="3"/>
              <w:keepNext w:val="0"/>
              <w:keepLines w:val="0"/>
              <w:pageBreakBefore w:val="0"/>
              <w:shd w:val="clear" w:color="auto" w:fill="FFFFFF"/>
              <w:wordWrap/>
              <w:overflowPunct/>
              <w:topLinePunct w:val="0"/>
              <w:bidi w:val="0"/>
              <w:spacing w:before="75" w:beforeAutospacing="0" w:after="75" w:afterAutospacing="0" w:line="560" w:lineRule="exact"/>
              <w:ind w:right="-383"/>
              <w:rPr>
                <w:rFonts w:ascii="宋体" w:hAnsi="宋体" w:cs="宋体"/>
                <w:color w:val="000000"/>
                <w:shd w:val="clear" w:color="auto" w:fill="FFFFFF"/>
              </w:rPr>
            </w:pPr>
            <w:r>
              <w:rPr>
                <w:rFonts w:hint="eastAsia" w:ascii="宋体" w:hAnsi="宋体" w:cs="宋体"/>
                <w:color w:val="000000"/>
                <w:shd w:val="clear" w:color="auto" w:fill="FFFFFF"/>
              </w:rPr>
              <w:t>提出解决方案</w:t>
            </w:r>
          </w:p>
        </w:tc>
        <w:tc>
          <w:tcPr>
            <w:tcW w:w="3078" w:type="dxa"/>
            <w:tcMar>
              <w:top w:w="0" w:type="dxa"/>
              <w:left w:w="60" w:type="dxa"/>
              <w:bottom w:w="0" w:type="dxa"/>
              <w:right w:w="60" w:type="dxa"/>
            </w:tcMar>
            <w:vAlign w:val="center"/>
          </w:tcPr>
          <w:p w14:paraId="45EC5D9C">
            <w:pPr>
              <w:pStyle w:val="3"/>
              <w:keepNext w:val="0"/>
              <w:keepLines w:val="0"/>
              <w:pageBreakBefore w:val="0"/>
              <w:shd w:val="clear" w:color="auto" w:fill="FFFFFF"/>
              <w:wordWrap/>
              <w:overflowPunct/>
              <w:topLinePunct w:val="0"/>
              <w:bidi w:val="0"/>
              <w:spacing w:before="75" w:beforeAutospacing="0" w:after="75" w:afterAutospacing="0" w:line="560" w:lineRule="exact"/>
              <w:ind w:right="-383" w:firstLine="480" w:firstLineChars="200"/>
              <w:rPr>
                <w:rFonts w:ascii="宋体" w:hAnsi="宋体" w:cs="宋体"/>
                <w:color w:val="000000"/>
                <w:shd w:val="clear" w:color="auto" w:fill="FFFFFF"/>
              </w:rPr>
            </w:pPr>
            <w:r>
              <w:rPr>
                <w:rFonts w:hint="eastAsia" w:ascii="宋体" w:hAnsi="宋体" w:cs="宋体"/>
                <w:color w:val="000000"/>
                <w:shd w:val="clear" w:color="auto" w:fill="FFFFFF"/>
              </w:rPr>
              <w:t>解决时间</w:t>
            </w:r>
          </w:p>
        </w:tc>
      </w:tr>
      <w:tr w14:paraId="4E26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06" w:hRule="atLeast"/>
          <w:tblCellSpacing w:w="15" w:type="dxa"/>
        </w:trPr>
        <w:tc>
          <w:tcPr>
            <w:tcW w:w="3646" w:type="dxa"/>
            <w:tcMar>
              <w:top w:w="0" w:type="dxa"/>
              <w:left w:w="60" w:type="dxa"/>
              <w:bottom w:w="0" w:type="dxa"/>
              <w:right w:w="60" w:type="dxa"/>
            </w:tcMar>
            <w:vAlign w:val="center"/>
          </w:tcPr>
          <w:p w14:paraId="373119FE">
            <w:pPr>
              <w:bidi w:val="0"/>
              <w:rPr>
                <w:sz w:val="24"/>
                <w:szCs w:val="24"/>
              </w:rPr>
            </w:pPr>
            <w:r>
              <w:rPr>
                <w:rFonts w:hint="eastAsia"/>
                <w:sz w:val="24"/>
                <w:szCs w:val="24"/>
              </w:rPr>
              <w:t>I级：属于重特大故障：其具体现象为：</w:t>
            </w:r>
          </w:p>
          <w:p w14:paraId="47F16FFA">
            <w:pPr>
              <w:bidi w:val="0"/>
              <w:rPr>
                <w:sz w:val="24"/>
                <w:szCs w:val="24"/>
              </w:rPr>
            </w:pPr>
            <w:r>
              <w:rPr>
                <w:rFonts w:hint="eastAsia"/>
                <w:sz w:val="24"/>
                <w:szCs w:val="24"/>
              </w:rPr>
              <w:t>1.核心设备出现故障；</w:t>
            </w:r>
          </w:p>
          <w:p w14:paraId="1FA6D037">
            <w:pPr>
              <w:bidi w:val="0"/>
              <w:rPr>
                <w:sz w:val="24"/>
                <w:szCs w:val="24"/>
              </w:rPr>
            </w:pPr>
            <w:r>
              <w:rPr>
                <w:rFonts w:hint="eastAsia"/>
                <w:sz w:val="24"/>
                <w:szCs w:val="24"/>
              </w:rPr>
              <w:t>2.大面积区域设备瘫痪；</w:t>
            </w:r>
          </w:p>
        </w:tc>
        <w:tc>
          <w:tcPr>
            <w:tcW w:w="1389" w:type="dxa"/>
            <w:tcMar>
              <w:top w:w="0" w:type="dxa"/>
              <w:left w:w="60" w:type="dxa"/>
              <w:bottom w:w="0" w:type="dxa"/>
              <w:right w:w="60" w:type="dxa"/>
            </w:tcMar>
            <w:vAlign w:val="center"/>
          </w:tcPr>
          <w:p w14:paraId="0409F3DA">
            <w:pPr>
              <w:bidi w:val="0"/>
              <w:rPr>
                <w:rFonts w:hint="default"/>
                <w:sz w:val="24"/>
                <w:szCs w:val="24"/>
                <w:lang w:val="en-US" w:eastAsia="zh-CN"/>
              </w:rPr>
            </w:pPr>
            <w:r>
              <w:rPr>
                <w:rFonts w:hint="eastAsia"/>
                <w:sz w:val="24"/>
                <w:szCs w:val="24"/>
                <w:lang w:eastAsia="zh-CN"/>
              </w:rPr>
              <w:t>西洪院区</w:t>
            </w:r>
            <w:r>
              <w:rPr>
                <w:rFonts w:hint="eastAsia"/>
                <w:sz w:val="24"/>
                <w:szCs w:val="24"/>
              </w:rPr>
              <w:t>1小时到场</w:t>
            </w:r>
            <w:r>
              <w:rPr>
                <w:rFonts w:hint="eastAsia"/>
                <w:sz w:val="24"/>
                <w:szCs w:val="24"/>
                <w:lang w:eastAsia="zh-CN"/>
              </w:rPr>
              <w:t>；南院</w:t>
            </w:r>
            <w:r>
              <w:rPr>
                <w:rFonts w:hint="eastAsia"/>
                <w:sz w:val="24"/>
                <w:szCs w:val="24"/>
                <w:lang w:val="en-US" w:eastAsia="zh-CN"/>
              </w:rPr>
              <w:t>2小时到场。</w:t>
            </w:r>
          </w:p>
        </w:tc>
        <w:tc>
          <w:tcPr>
            <w:tcW w:w="1815" w:type="dxa"/>
            <w:tcMar>
              <w:top w:w="0" w:type="dxa"/>
              <w:left w:w="60" w:type="dxa"/>
              <w:bottom w:w="0" w:type="dxa"/>
              <w:right w:w="60" w:type="dxa"/>
            </w:tcMar>
            <w:vAlign w:val="center"/>
          </w:tcPr>
          <w:p w14:paraId="08261101">
            <w:pPr>
              <w:bidi w:val="0"/>
              <w:rPr>
                <w:sz w:val="24"/>
                <w:szCs w:val="24"/>
              </w:rPr>
            </w:pPr>
            <w:r>
              <w:rPr>
                <w:rFonts w:hint="eastAsia"/>
                <w:sz w:val="24"/>
                <w:szCs w:val="24"/>
              </w:rPr>
              <w:t>到达现场后45分钟内提交故障解决方案</w:t>
            </w:r>
          </w:p>
        </w:tc>
        <w:tc>
          <w:tcPr>
            <w:tcW w:w="3078" w:type="dxa"/>
            <w:tcMar>
              <w:top w:w="0" w:type="dxa"/>
              <w:left w:w="60" w:type="dxa"/>
              <w:bottom w:w="0" w:type="dxa"/>
              <w:right w:w="60" w:type="dxa"/>
            </w:tcMar>
            <w:vAlign w:val="center"/>
          </w:tcPr>
          <w:p w14:paraId="1F5B9456">
            <w:pPr>
              <w:bidi w:val="0"/>
              <w:rPr>
                <w:sz w:val="24"/>
                <w:szCs w:val="24"/>
              </w:rPr>
            </w:pPr>
            <w:r>
              <w:rPr>
                <w:rFonts w:hint="eastAsia"/>
                <w:sz w:val="24"/>
                <w:szCs w:val="24"/>
              </w:rPr>
              <w:t>到达现场后45分钟以内，根据客户和现场工程师提供或远程监测获得的信息判断为设备硬件或配件问题，给出配件清单。</w:t>
            </w:r>
          </w:p>
        </w:tc>
      </w:tr>
      <w:tr w14:paraId="4685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7" w:hRule="atLeast"/>
          <w:tblCellSpacing w:w="15" w:type="dxa"/>
        </w:trPr>
        <w:tc>
          <w:tcPr>
            <w:tcW w:w="3646" w:type="dxa"/>
            <w:tcMar>
              <w:top w:w="0" w:type="dxa"/>
              <w:left w:w="60" w:type="dxa"/>
              <w:bottom w:w="0" w:type="dxa"/>
              <w:right w:w="60" w:type="dxa"/>
            </w:tcMar>
            <w:vAlign w:val="center"/>
          </w:tcPr>
          <w:p w14:paraId="04930B96">
            <w:pPr>
              <w:bidi w:val="0"/>
              <w:rPr>
                <w:sz w:val="24"/>
                <w:szCs w:val="24"/>
              </w:rPr>
            </w:pPr>
            <w:r>
              <w:rPr>
                <w:rFonts w:hint="eastAsia"/>
                <w:sz w:val="24"/>
                <w:szCs w:val="24"/>
              </w:rPr>
              <w:t>II级：属于严重故障；其具体现象为：</w:t>
            </w:r>
          </w:p>
          <w:p w14:paraId="132AEABE">
            <w:pPr>
              <w:bidi w:val="0"/>
              <w:rPr>
                <w:sz w:val="24"/>
                <w:szCs w:val="24"/>
              </w:rPr>
            </w:pPr>
            <w:r>
              <w:rPr>
                <w:rFonts w:hint="eastAsia"/>
                <w:sz w:val="24"/>
                <w:szCs w:val="24"/>
              </w:rPr>
              <w:t>1.整体性能下降或不稳定，严重影响客户使用。</w:t>
            </w:r>
          </w:p>
          <w:p w14:paraId="58AD43AF">
            <w:pPr>
              <w:bidi w:val="0"/>
              <w:rPr>
                <w:sz w:val="24"/>
                <w:szCs w:val="24"/>
              </w:rPr>
            </w:pPr>
            <w:r>
              <w:rPr>
                <w:rFonts w:hint="eastAsia"/>
                <w:sz w:val="24"/>
                <w:szCs w:val="24"/>
              </w:rPr>
              <w:t>2.非核心设备故障，但导致影响部分客户的使用。</w:t>
            </w:r>
          </w:p>
          <w:p w14:paraId="68A11690">
            <w:pPr>
              <w:bidi w:val="0"/>
              <w:rPr>
                <w:sz w:val="24"/>
                <w:szCs w:val="24"/>
              </w:rPr>
            </w:pPr>
            <w:r>
              <w:rPr>
                <w:rFonts w:hint="eastAsia"/>
                <w:sz w:val="24"/>
                <w:szCs w:val="24"/>
              </w:rPr>
              <w:t>3.故障对客户的日常工作有较严重的影响。</w:t>
            </w:r>
          </w:p>
        </w:tc>
        <w:tc>
          <w:tcPr>
            <w:tcW w:w="1389" w:type="dxa"/>
            <w:tcMar>
              <w:top w:w="0" w:type="dxa"/>
              <w:left w:w="60" w:type="dxa"/>
              <w:bottom w:w="0" w:type="dxa"/>
              <w:right w:w="60" w:type="dxa"/>
            </w:tcMar>
            <w:vAlign w:val="center"/>
          </w:tcPr>
          <w:p w14:paraId="2B35324D">
            <w:pPr>
              <w:bidi w:val="0"/>
              <w:rPr>
                <w:sz w:val="24"/>
                <w:szCs w:val="24"/>
              </w:rPr>
            </w:pPr>
            <w:r>
              <w:rPr>
                <w:rFonts w:hint="eastAsia"/>
                <w:sz w:val="24"/>
                <w:szCs w:val="24"/>
                <w:lang w:eastAsia="zh-CN"/>
              </w:rPr>
              <w:t>西洪院区</w:t>
            </w:r>
            <w:r>
              <w:rPr>
                <w:rFonts w:hint="eastAsia"/>
                <w:sz w:val="24"/>
                <w:szCs w:val="24"/>
              </w:rPr>
              <w:t>1小时到场</w:t>
            </w:r>
            <w:r>
              <w:rPr>
                <w:rFonts w:hint="eastAsia"/>
                <w:sz w:val="24"/>
                <w:szCs w:val="24"/>
                <w:lang w:eastAsia="zh-CN"/>
              </w:rPr>
              <w:t>；南院</w:t>
            </w:r>
            <w:r>
              <w:rPr>
                <w:rFonts w:hint="eastAsia"/>
                <w:sz w:val="24"/>
                <w:szCs w:val="24"/>
                <w:lang w:val="en-US" w:eastAsia="zh-CN"/>
              </w:rPr>
              <w:t>2小时到场。</w:t>
            </w:r>
          </w:p>
        </w:tc>
        <w:tc>
          <w:tcPr>
            <w:tcW w:w="1815" w:type="dxa"/>
            <w:tcMar>
              <w:top w:w="0" w:type="dxa"/>
              <w:left w:w="60" w:type="dxa"/>
              <w:bottom w:w="0" w:type="dxa"/>
              <w:right w:w="60" w:type="dxa"/>
            </w:tcMar>
            <w:vAlign w:val="center"/>
          </w:tcPr>
          <w:p w14:paraId="5E775E86">
            <w:pPr>
              <w:bidi w:val="0"/>
              <w:rPr>
                <w:sz w:val="24"/>
                <w:szCs w:val="24"/>
              </w:rPr>
            </w:pPr>
            <w:r>
              <w:rPr>
                <w:rFonts w:hint="eastAsia"/>
                <w:sz w:val="24"/>
                <w:szCs w:val="24"/>
              </w:rPr>
              <w:t>到达现场后60分钟内提交故障解决方案</w:t>
            </w:r>
          </w:p>
        </w:tc>
        <w:tc>
          <w:tcPr>
            <w:tcW w:w="3078" w:type="dxa"/>
            <w:tcMar>
              <w:top w:w="0" w:type="dxa"/>
              <w:left w:w="60" w:type="dxa"/>
              <w:bottom w:w="0" w:type="dxa"/>
              <w:right w:w="60" w:type="dxa"/>
            </w:tcMar>
            <w:vAlign w:val="center"/>
          </w:tcPr>
          <w:p w14:paraId="3D1B8EDB">
            <w:pPr>
              <w:bidi w:val="0"/>
              <w:rPr>
                <w:sz w:val="24"/>
                <w:szCs w:val="24"/>
              </w:rPr>
            </w:pPr>
            <w:r>
              <w:rPr>
                <w:rFonts w:hint="eastAsia"/>
                <w:sz w:val="24"/>
                <w:szCs w:val="24"/>
              </w:rPr>
              <w:t>到达现场后60分钟以内，根据客户和现场工程师提供或远程监测获得的信息判断为设备硬件或配件问题，给出配件清单。</w:t>
            </w:r>
          </w:p>
        </w:tc>
      </w:tr>
      <w:tr w14:paraId="5EFA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0" w:hRule="atLeast"/>
          <w:tblCellSpacing w:w="15" w:type="dxa"/>
        </w:trPr>
        <w:tc>
          <w:tcPr>
            <w:tcW w:w="3646" w:type="dxa"/>
            <w:tcMar>
              <w:top w:w="0" w:type="dxa"/>
              <w:left w:w="60" w:type="dxa"/>
              <w:bottom w:w="0" w:type="dxa"/>
              <w:right w:w="60" w:type="dxa"/>
            </w:tcMar>
            <w:vAlign w:val="center"/>
          </w:tcPr>
          <w:p w14:paraId="71892ED5">
            <w:pPr>
              <w:bidi w:val="0"/>
              <w:rPr>
                <w:sz w:val="24"/>
                <w:szCs w:val="24"/>
              </w:rPr>
            </w:pPr>
            <w:r>
              <w:rPr>
                <w:rFonts w:hint="eastAsia"/>
                <w:sz w:val="24"/>
                <w:szCs w:val="24"/>
              </w:rPr>
              <w:t>III级：属于较严重问题；其具体现象为：</w:t>
            </w:r>
          </w:p>
          <w:p w14:paraId="18D52FA6">
            <w:pPr>
              <w:bidi w:val="0"/>
              <w:rPr>
                <w:sz w:val="24"/>
                <w:szCs w:val="24"/>
              </w:rPr>
            </w:pPr>
            <w:r>
              <w:rPr>
                <w:rFonts w:hint="eastAsia"/>
                <w:sz w:val="24"/>
                <w:szCs w:val="24"/>
              </w:rPr>
              <w:t>1.某个或几个独立系统性能下降，但对客户的主要应用影响不大</w:t>
            </w:r>
          </w:p>
          <w:p w14:paraId="29932B92">
            <w:pPr>
              <w:bidi w:val="0"/>
              <w:rPr>
                <w:sz w:val="24"/>
                <w:szCs w:val="24"/>
              </w:rPr>
            </w:pPr>
            <w:r>
              <w:rPr>
                <w:rFonts w:hint="eastAsia"/>
                <w:sz w:val="24"/>
                <w:szCs w:val="24"/>
              </w:rPr>
              <w:t>2.非核心设备故障，对客户主要应用影响不大</w:t>
            </w:r>
          </w:p>
        </w:tc>
        <w:tc>
          <w:tcPr>
            <w:tcW w:w="1389" w:type="dxa"/>
            <w:tcMar>
              <w:top w:w="0" w:type="dxa"/>
              <w:left w:w="60" w:type="dxa"/>
              <w:bottom w:w="0" w:type="dxa"/>
              <w:right w:w="60" w:type="dxa"/>
            </w:tcMar>
            <w:vAlign w:val="center"/>
          </w:tcPr>
          <w:p w14:paraId="6830A7E9">
            <w:pPr>
              <w:bidi w:val="0"/>
              <w:rPr>
                <w:sz w:val="24"/>
                <w:szCs w:val="24"/>
              </w:rPr>
            </w:pPr>
            <w:r>
              <w:rPr>
                <w:rFonts w:hint="eastAsia"/>
                <w:sz w:val="24"/>
                <w:szCs w:val="24"/>
                <w:lang w:eastAsia="zh-CN"/>
              </w:rPr>
              <w:t>西洪院区</w:t>
            </w:r>
            <w:r>
              <w:rPr>
                <w:rFonts w:hint="eastAsia"/>
                <w:sz w:val="24"/>
                <w:szCs w:val="24"/>
              </w:rPr>
              <w:t>1小时</w:t>
            </w:r>
            <w:r>
              <w:rPr>
                <w:rFonts w:hint="eastAsia"/>
                <w:sz w:val="24"/>
                <w:szCs w:val="24"/>
                <w:lang w:eastAsia="zh-CN"/>
              </w:rPr>
              <w:t>；南院</w:t>
            </w:r>
            <w:r>
              <w:rPr>
                <w:rFonts w:hint="eastAsia"/>
                <w:sz w:val="24"/>
                <w:szCs w:val="24"/>
                <w:lang w:val="en-US" w:eastAsia="zh-CN"/>
              </w:rPr>
              <w:t>2小时。</w:t>
            </w:r>
          </w:p>
        </w:tc>
        <w:tc>
          <w:tcPr>
            <w:tcW w:w="1815" w:type="dxa"/>
            <w:tcMar>
              <w:top w:w="0" w:type="dxa"/>
              <w:left w:w="60" w:type="dxa"/>
              <w:bottom w:w="0" w:type="dxa"/>
              <w:right w:w="60" w:type="dxa"/>
            </w:tcMar>
            <w:vAlign w:val="center"/>
          </w:tcPr>
          <w:p w14:paraId="0826191F">
            <w:pPr>
              <w:bidi w:val="0"/>
              <w:rPr>
                <w:sz w:val="24"/>
                <w:szCs w:val="24"/>
              </w:rPr>
            </w:pPr>
            <w:r>
              <w:rPr>
                <w:rFonts w:hint="eastAsia"/>
                <w:sz w:val="24"/>
                <w:szCs w:val="24"/>
              </w:rPr>
              <w:t>到达现场后2小时内提交故障解决方案</w:t>
            </w:r>
          </w:p>
        </w:tc>
        <w:tc>
          <w:tcPr>
            <w:tcW w:w="3078" w:type="dxa"/>
            <w:tcMar>
              <w:top w:w="0" w:type="dxa"/>
              <w:left w:w="60" w:type="dxa"/>
              <w:bottom w:w="0" w:type="dxa"/>
              <w:right w:w="60" w:type="dxa"/>
            </w:tcMar>
            <w:vAlign w:val="center"/>
          </w:tcPr>
          <w:p w14:paraId="374A8460">
            <w:pPr>
              <w:bidi w:val="0"/>
              <w:rPr>
                <w:sz w:val="24"/>
                <w:szCs w:val="24"/>
              </w:rPr>
            </w:pPr>
            <w:r>
              <w:rPr>
                <w:rFonts w:hint="eastAsia"/>
                <w:sz w:val="24"/>
                <w:szCs w:val="24"/>
              </w:rPr>
              <w:t>到达现场后2小时以内，根据客户和现场工程师提供或远程监测获得的信息判断为设备硬件或配件问题，给出配件清单。</w:t>
            </w:r>
          </w:p>
        </w:tc>
      </w:tr>
      <w:tr w14:paraId="151E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31" w:hRule="atLeast"/>
          <w:tblCellSpacing w:w="15" w:type="dxa"/>
        </w:trPr>
        <w:tc>
          <w:tcPr>
            <w:tcW w:w="3646" w:type="dxa"/>
            <w:tcMar>
              <w:top w:w="0" w:type="dxa"/>
              <w:left w:w="60" w:type="dxa"/>
              <w:bottom w:w="0" w:type="dxa"/>
              <w:right w:w="60" w:type="dxa"/>
            </w:tcMar>
            <w:vAlign w:val="center"/>
          </w:tcPr>
          <w:p w14:paraId="24253749">
            <w:pPr>
              <w:bidi w:val="0"/>
              <w:rPr>
                <w:sz w:val="24"/>
                <w:szCs w:val="24"/>
              </w:rPr>
            </w:pPr>
            <w:r>
              <w:rPr>
                <w:rFonts w:hint="eastAsia"/>
                <w:sz w:val="24"/>
                <w:szCs w:val="24"/>
              </w:rPr>
              <w:t>IV级：属于普通问题：其具体现象为：</w:t>
            </w:r>
          </w:p>
          <w:p w14:paraId="05E40BB5">
            <w:pPr>
              <w:bidi w:val="0"/>
              <w:rPr>
                <w:sz w:val="24"/>
                <w:szCs w:val="24"/>
              </w:rPr>
            </w:pPr>
            <w:r>
              <w:rPr>
                <w:rFonts w:hint="eastAsia"/>
                <w:sz w:val="24"/>
                <w:szCs w:val="24"/>
              </w:rPr>
              <w:t>1.设备的普通故障，对客户主要应用没有影响或影响不大</w:t>
            </w:r>
          </w:p>
        </w:tc>
        <w:tc>
          <w:tcPr>
            <w:tcW w:w="1389" w:type="dxa"/>
            <w:tcMar>
              <w:top w:w="0" w:type="dxa"/>
              <w:left w:w="60" w:type="dxa"/>
              <w:bottom w:w="0" w:type="dxa"/>
              <w:right w:w="60" w:type="dxa"/>
            </w:tcMar>
            <w:vAlign w:val="center"/>
          </w:tcPr>
          <w:p w14:paraId="38FEF8EE">
            <w:pPr>
              <w:bidi w:val="0"/>
              <w:rPr>
                <w:sz w:val="24"/>
                <w:szCs w:val="24"/>
              </w:rPr>
            </w:pPr>
            <w:r>
              <w:rPr>
                <w:rFonts w:hint="eastAsia"/>
                <w:sz w:val="24"/>
                <w:szCs w:val="24"/>
                <w:lang w:eastAsia="zh-CN"/>
              </w:rPr>
              <w:t>西洪院区</w:t>
            </w:r>
            <w:r>
              <w:rPr>
                <w:rFonts w:hint="eastAsia"/>
                <w:sz w:val="24"/>
                <w:szCs w:val="24"/>
              </w:rPr>
              <w:t>1小时到场</w:t>
            </w:r>
            <w:r>
              <w:rPr>
                <w:rFonts w:hint="eastAsia"/>
                <w:sz w:val="24"/>
                <w:szCs w:val="24"/>
                <w:lang w:eastAsia="zh-CN"/>
              </w:rPr>
              <w:t>；南院</w:t>
            </w:r>
            <w:r>
              <w:rPr>
                <w:rFonts w:hint="eastAsia"/>
                <w:sz w:val="24"/>
                <w:szCs w:val="24"/>
                <w:lang w:val="en-US" w:eastAsia="zh-CN"/>
              </w:rPr>
              <w:t>2小时到场。</w:t>
            </w:r>
          </w:p>
        </w:tc>
        <w:tc>
          <w:tcPr>
            <w:tcW w:w="1815" w:type="dxa"/>
            <w:tcMar>
              <w:top w:w="0" w:type="dxa"/>
              <w:left w:w="60" w:type="dxa"/>
              <w:bottom w:w="0" w:type="dxa"/>
              <w:right w:w="60" w:type="dxa"/>
            </w:tcMar>
            <w:vAlign w:val="center"/>
          </w:tcPr>
          <w:p w14:paraId="11CF0EB9">
            <w:pPr>
              <w:bidi w:val="0"/>
              <w:rPr>
                <w:sz w:val="24"/>
                <w:szCs w:val="24"/>
              </w:rPr>
            </w:pPr>
            <w:r>
              <w:rPr>
                <w:rFonts w:hint="eastAsia"/>
                <w:sz w:val="24"/>
                <w:szCs w:val="24"/>
              </w:rPr>
              <w:t>到达现场后2小时内提交解决方案</w:t>
            </w:r>
          </w:p>
        </w:tc>
        <w:tc>
          <w:tcPr>
            <w:tcW w:w="3078" w:type="dxa"/>
            <w:tcMar>
              <w:top w:w="0" w:type="dxa"/>
              <w:left w:w="60" w:type="dxa"/>
              <w:bottom w:w="0" w:type="dxa"/>
              <w:right w:w="60" w:type="dxa"/>
            </w:tcMar>
            <w:vAlign w:val="center"/>
          </w:tcPr>
          <w:p w14:paraId="5E09A35B">
            <w:pPr>
              <w:bidi w:val="0"/>
              <w:rPr>
                <w:sz w:val="24"/>
                <w:szCs w:val="24"/>
              </w:rPr>
            </w:pPr>
            <w:r>
              <w:rPr>
                <w:rFonts w:hint="eastAsia"/>
                <w:sz w:val="24"/>
                <w:szCs w:val="24"/>
              </w:rPr>
              <w:t>到达现场后2小时以内，根据客户和现场工程师提供或远程监测获得的信息判断为设备硬件或配件问题，给出配件清单。</w:t>
            </w:r>
          </w:p>
        </w:tc>
      </w:tr>
    </w:tbl>
    <w:p w14:paraId="4D89C53C">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I～IV级故障处理完毕后，乙方在三日内向医院提交书面的故障处理报告。</w:t>
      </w:r>
    </w:p>
    <w:p w14:paraId="5F3F6906">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181" w:right="-386" w:firstLine="560" w:firstLineChars="200"/>
        <w:textAlignment w:val="auto"/>
        <w:rPr>
          <w:rFonts w:ascii="仿宋" w:hAnsi="仿宋" w:eastAsia="仿宋" w:cs="仿宋"/>
          <w:sz w:val="28"/>
          <w:szCs w:val="28"/>
        </w:rPr>
      </w:pPr>
      <w:r>
        <w:rPr>
          <w:rFonts w:hint="eastAsia" w:ascii="仿宋" w:hAnsi="仿宋" w:eastAsia="仿宋" w:cs="仿宋"/>
          <w:sz w:val="28"/>
          <w:szCs w:val="28"/>
        </w:rPr>
        <w:t>运维服务期内，根据医院的要求对系统进行完善。对系统进行的任何配置、数据改动及其它可能对系统和业务造成不良影响的操作，必须提前告知提醒医院并经医院确认后方可进行。</w:t>
      </w:r>
    </w:p>
    <w:p w14:paraId="2A1D7896">
      <w:pPr>
        <w:keepNext w:val="0"/>
        <w:keepLines w:val="0"/>
        <w:pageBreakBefore w:val="0"/>
        <w:wordWrap/>
        <w:overflowPunct/>
        <w:topLinePunct w:val="0"/>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服务期满后系统出现故障，乙方义务配合医院尽快解决故障，并提供技术支持与运维服务期满后每年的维护内容、费用标准和服务方式、范围供医院选择。</w:t>
      </w:r>
    </w:p>
    <w:p w14:paraId="09DC9954">
      <w:pPr>
        <w:keepNext w:val="0"/>
        <w:keepLines w:val="0"/>
        <w:pageBreakBefore w:val="0"/>
        <w:numPr>
          <w:ilvl w:val="0"/>
          <w:numId w:val="0"/>
        </w:numPr>
        <w:wordWrap/>
        <w:overflowPunct/>
        <w:topLinePunct w:val="0"/>
        <w:bidi w:val="0"/>
        <w:spacing w:line="56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五、供应商资格要求</w:t>
      </w:r>
    </w:p>
    <w:p w14:paraId="748C2647">
      <w:pPr>
        <w:keepNext w:val="0"/>
        <w:keepLines w:val="0"/>
        <w:pageBreakBefore w:val="0"/>
        <w:numPr>
          <w:ilvl w:val="0"/>
          <w:numId w:val="3"/>
        </w:numPr>
        <w:wordWrap/>
        <w:overflowPunct/>
        <w:topLinePunct w:val="0"/>
        <w:bidi w:val="0"/>
        <w:spacing w:line="56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基本资质：</w:t>
      </w:r>
    </w:p>
    <w:p w14:paraId="7D98E27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具有独立法人资格，经营范围须含有计算机网络，智能化工程施工或维护</w:t>
      </w:r>
      <w:r>
        <w:rPr>
          <w:rFonts w:hint="eastAsia" w:ascii="仿宋" w:hAnsi="仿宋" w:eastAsia="仿宋" w:cs="仿宋"/>
          <w:sz w:val="28"/>
          <w:szCs w:val="28"/>
          <w:lang w:eastAsia="zh-CN"/>
        </w:rPr>
        <w:t>。</w:t>
      </w:r>
    </w:p>
    <w:p w14:paraId="5F925684">
      <w:pPr>
        <w:ind w:firstLine="562" w:firstLineChars="200"/>
        <w:rPr>
          <w:rFonts w:hint="eastAsia" w:ascii="仿宋" w:hAnsi="仿宋" w:eastAsia="仿宋" w:cs="仿宋"/>
          <w:b/>
          <w:sz w:val="28"/>
          <w:szCs w:val="28"/>
        </w:rPr>
      </w:pPr>
      <w:r>
        <w:rPr>
          <w:rFonts w:hint="eastAsia" w:ascii="仿宋" w:hAnsi="仿宋" w:eastAsia="仿宋" w:cs="仿宋"/>
          <w:b/>
          <w:sz w:val="28"/>
          <w:szCs w:val="28"/>
        </w:rPr>
        <w:t>2：经验要求：</w:t>
      </w:r>
    </w:p>
    <w:p w14:paraId="4E993A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近5年内承接过2家公立医疗单位</w:t>
      </w:r>
      <w:r>
        <w:rPr>
          <w:rFonts w:hint="eastAsia" w:ascii="仿宋" w:hAnsi="仿宋" w:eastAsia="仿宋" w:cs="仿宋"/>
          <w:sz w:val="28"/>
          <w:szCs w:val="28"/>
          <w:lang w:eastAsia="zh-CN"/>
        </w:rPr>
        <w:t>或大型商场</w:t>
      </w:r>
      <w:r>
        <w:rPr>
          <w:rFonts w:hint="eastAsia" w:ascii="仿宋" w:hAnsi="仿宋" w:eastAsia="仿宋" w:cs="仿宋"/>
          <w:sz w:val="28"/>
          <w:szCs w:val="28"/>
        </w:rPr>
        <w:t>的安防监控或者维保项目（提供合同复印件）</w:t>
      </w:r>
      <w:r>
        <w:rPr>
          <w:rFonts w:hint="eastAsia" w:ascii="仿宋" w:hAnsi="仿宋" w:eastAsia="仿宋" w:cs="仿宋"/>
          <w:sz w:val="28"/>
          <w:szCs w:val="28"/>
          <w:lang w:eastAsia="zh-CN"/>
        </w:rPr>
        <w:t>。</w:t>
      </w:r>
    </w:p>
    <w:p w14:paraId="140218A2">
      <w:pPr>
        <w:ind w:firstLine="562" w:firstLineChars="200"/>
        <w:rPr>
          <w:rFonts w:hint="eastAsia" w:ascii="仿宋" w:hAnsi="仿宋" w:eastAsia="仿宋" w:cs="仿宋"/>
          <w:b/>
          <w:sz w:val="28"/>
          <w:szCs w:val="28"/>
        </w:rPr>
      </w:pPr>
      <w:r>
        <w:rPr>
          <w:rFonts w:hint="eastAsia" w:ascii="仿宋" w:hAnsi="仿宋" w:eastAsia="仿宋" w:cs="仿宋"/>
          <w:b/>
          <w:sz w:val="28"/>
          <w:szCs w:val="28"/>
        </w:rPr>
        <w:t>3、本地化服务能力：</w:t>
      </w:r>
    </w:p>
    <w:p w14:paraId="7C283981">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在本地设有固定办公场所及备品备件，具备24小时应急响应团队，提供实时响应</w:t>
      </w:r>
      <w:r>
        <w:rPr>
          <w:rFonts w:hint="eastAsia" w:ascii="仿宋" w:hAnsi="仿宋" w:eastAsia="仿宋" w:cs="仿宋"/>
          <w:sz w:val="28"/>
          <w:szCs w:val="28"/>
          <w:lang w:eastAsia="zh-CN"/>
        </w:rPr>
        <w:t>。</w:t>
      </w:r>
    </w:p>
    <w:p w14:paraId="6833CFEF">
      <w:pPr>
        <w:keepNext w:val="0"/>
        <w:keepLines w:val="0"/>
        <w:pageBreakBefore w:val="0"/>
        <w:numPr>
          <w:ilvl w:val="0"/>
          <w:numId w:val="0"/>
        </w:numPr>
        <w:wordWrap/>
        <w:overflowPunct/>
        <w:topLinePunct w:val="0"/>
        <w:bidi w:val="0"/>
        <w:spacing w:line="560" w:lineRule="exact"/>
        <w:rPr>
          <w:rFonts w:hint="eastAsia" w:ascii="仿宋" w:hAnsi="仿宋" w:eastAsia="仿宋" w:cs="仿宋"/>
          <w:sz w:val="28"/>
          <w:szCs w:val="28"/>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AFA774-FE84-4204-8A9A-22E5F0E32E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81EB249-956B-4C2A-8FDB-D10D31C0C184}"/>
  </w:font>
  <w:font w:name="仿宋">
    <w:panose1 w:val="02010609060101010101"/>
    <w:charset w:val="86"/>
    <w:family w:val="modern"/>
    <w:pitch w:val="default"/>
    <w:sig w:usb0="800002BF" w:usb1="38CF7CFA" w:usb2="00000016" w:usb3="00000000" w:csb0="00040001" w:csb1="00000000"/>
    <w:embedRegular r:id="rId3" w:fontKey="{A3406044-C4AA-42DB-A0AC-9E611D35C26A}"/>
  </w:font>
  <w:font w:name="仿宋_GB2312">
    <w:panose1 w:val="02010609030101010101"/>
    <w:charset w:val="86"/>
    <w:family w:val="auto"/>
    <w:pitch w:val="default"/>
    <w:sig w:usb0="00000001" w:usb1="080E0000" w:usb2="00000000" w:usb3="00000000" w:csb0="00040000" w:csb1="00000000"/>
    <w:embedRegular r:id="rId4" w:fontKey="{9006E47E-3A0F-4DE4-B2C7-CD447581E013}"/>
  </w:font>
  <w:font w:name="none">
    <w:altName w:val="Segoe Print"/>
    <w:panose1 w:val="00000000000000000000"/>
    <w:charset w:val="00"/>
    <w:family w:val="auto"/>
    <w:pitch w:val="default"/>
    <w:sig w:usb0="00000000" w:usb1="00000000" w:usb2="00000000" w:usb3="00000000" w:csb0="00040001" w:csb1="00000000"/>
    <w:embedRegular r:id="rId5" w:fontKey="{A95C6B6E-99C4-42AA-9EDA-14291738139C}"/>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embedRegular r:id="rId6" w:fontKey="{0BBA1F9C-B3FD-46A6-B9E6-8E4A2FBAEBB2}"/>
  </w:font>
  <w:font w:name="方正仿宋_GB2312">
    <w:panose1 w:val="02000000000000000000"/>
    <w:charset w:val="86"/>
    <w:family w:val="auto"/>
    <w:pitch w:val="default"/>
    <w:sig w:usb0="A00002BF" w:usb1="184F6CFA" w:usb2="00000012" w:usb3="00000000" w:csb0="00040001" w:csb1="00000000"/>
    <w:embedRegular r:id="rId7" w:fontKey="{7FF48CE4-5397-4D68-9DDF-08C0C56404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780F9"/>
    <w:multiLevelType w:val="singleLevel"/>
    <w:tmpl w:val="CE1780F9"/>
    <w:lvl w:ilvl="0" w:tentative="0">
      <w:start w:val="7"/>
      <w:numFmt w:val="chineseCounting"/>
      <w:suff w:val="nothing"/>
      <w:lvlText w:val="（%1）"/>
      <w:lvlJc w:val="left"/>
      <w:rPr>
        <w:rFonts w:hint="eastAsia"/>
      </w:rPr>
    </w:lvl>
  </w:abstractNum>
  <w:abstractNum w:abstractNumId="1">
    <w:nsid w:val="D555CC06"/>
    <w:multiLevelType w:val="singleLevel"/>
    <w:tmpl w:val="D555CC06"/>
    <w:lvl w:ilvl="0" w:tentative="0">
      <w:start w:val="1"/>
      <w:numFmt w:val="decimal"/>
      <w:suff w:val="nothing"/>
      <w:lvlText w:val="%1、"/>
      <w:lvlJc w:val="left"/>
    </w:lvl>
  </w:abstractNum>
  <w:abstractNum w:abstractNumId="2">
    <w:nsid w:val="13D7A91A"/>
    <w:multiLevelType w:val="singleLevel"/>
    <w:tmpl w:val="13D7A91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1F55"/>
    <w:rsid w:val="0150554C"/>
    <w:rsid w:val="021E26CC"/>
    <w:rsid w:val="0220731B"/>
    <w:rsid w:val="06936FD0"/>
    <w:rsid w:val="07660241"/>
    <w:rsid w:val="078E2A92"/>
    <w:rsid w:val="08846865"/>
    <w:rsid w:val="093F6B68"/>
    <w:rsid w:val="0AB9038B"/>
    <w:rsid w:val="0B64035C"/>
    <w:rsid w:val="0C4526B1"/>
    <w:rsid w:val="0E927B6D"/>
    <w:rsid w:val="0F21643E"/>
    <w:rsid w:val="12394ECF"/>
    <w:rsid w:val="126B1C8A"/>
    <w:rsid w:val="129A1AD6"/>
    <w:rsid w:val="12C64289"/>
    <w:rsid w:val="13216FF1"/>
    <w:rsid w:val="150F5B14"/>
    <w:rsid w:val="1646117F"/>
    <w:rsid w:val="19164392"/>
    <w:rsid w:val="1BB477E2"/>
    <w:rsid w:val="1C2B1ACB"/>
    <w:rsid w:val="1C735B22"/>
    <w:rsid w:val="1D5A06AF"/>
    <w:rsid w:val="1DCC638B"/>
    <w:rsid w:val="1E572EB7"/>
    <w:rsid w:val="1EAC7E34"/>
    <w:rsid w:val="1EC04283"/>
    <w:rsid w:val="1F2C38F9"/>
    <w:rsid w:val="2227520C"/>
    <w:rsid w:val="228A0C7E"/>
    <w:rsid w:val="22A27E22"/>
    <w:rsid w:val="231F5A1C"/>
    <w:rsid w:val="235C462B"/>
    <w:rsid w:val="25FD65FF"/>
    <w:rsid w:val="26492DAF"/>
    <w:rsid w:val="26B75F6B"/>
    <w:rsid w:val="281335B7"/>
    <w:rsid w:val="2985307F"/>
    <w:rsid w:val="2F2C0D20"/>
    <w:rsid w:val="2F906F1C"/>
    <w:rsid w:val="32BC31E3"/>
    <w:rsid w:val="346D124D"/>
    <w:rsid w:val="358539EA"/>
    <w:rsid w:val="367A0307"/>
    <w:rsid w:val="3AB35941"/>
    <w:rsid w:val="3AC863E9"/>
    <w:rsid w:val="3C934DB9"/>
    <w:rsid w:val="3CE2493C"/>
    <w:rsid w:val="3E8052D7"/>
    <w:rsid w:val="3EAA6689"/>
    <w:rsid w:val="40FC5196"/>
    <w:rsid w:val="416219AA"/>
    <w:rsid w:val="416B164C"/>
    <w:rsid w:val="42455877"/>
    <w:rsid w:val="434967D9"/>
    <w:rsid w:val="46802063"/>
    <w:rsid w:val="48C62734"/>
    <w:rsid w:val="49577749"/>
    <w:rsid w:val="4AAA63A9"/>
    <w:rsid w:val="4C3E1911"/>
    <w:rsid w:val="4D181271"/>
    <w:rsid w:val="4F32650D"/>
    <w:rsid w:val="4FE84428"/>
    <w:rsid w:val="4FF97471"/>
    <w:rsid w:val="50814D13"/>
    <w:rsid w:val="51050336"/>
    <w:rsid w:val="55F6237E"/>
    <w:rsid w:val="598400BD"/>
    <w:rsid w:val="5A205F0E"/>
    <w:rsid w:val="5B443F93"/>
    <w:rsid w:val="5CA610E6"/>
    <w:rsid w:val="5D214A51"/>
    <w:rsid w:val="60313358"/>
    <w:rsid w:val="625020A4"/>
    <w:rsid w:val="631B3736"/>
    <w:rsid w:val="63822E81"/>
    <w:rsid w:val="64370958"/>
    <w:rsid w:val="644D018C"/>
    <w:rsid w:val="64AE4279"/>
    <w:rsid w:val="64BD18A9"/>
    <w:rsid w:val="65073EEF"/>
    <w:rsid w:val="652C12F7"/>
    <w:rsid w:val="68DC3EF8"/>
    <w:rsid w:val="6A910E5B"/>
    <w:rsid w:val="6D0C6BF5"/>
    <w:rsid w:val="715429C7"/>
    <w:rsid w:val="71AD1A11"/>
    <w:rsid w:val="75100367"/>
    <w:rsid w:val="776D39D5"/>
    <w:rsid w:val="77B64430"/>
    <w:rsid w:val="77C15D51"/>
    <w:rsid w:val="78CE0650"/>
    <w:rsid w:val="790507EE"/>
    <w:rsid w:val="7D9E2F1C"/>
    <w:rsid w:val="7E6B3BF7"/>
    <w:rsid w:val="7FA00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Web)"/>
    <w:basedOn w:val="1"/>
    <w:qFormat/>
    <w:uiPriority w:val="0"/>
    <w:pPr>
      <w:spacing w:beforeAutospacing="1" w:afterAutospacing="1"/>
      <w:jc w:val="left"/>
    </w:pPr>
    <w:rPr>
      <w:rFonts w:ascii="Calibri" w:hAnsi="Calibri" w:eastAsia="宋体" w:cs="Times New Roman"/>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2698</Words>
  <Characters>2773</Characters>
  <Lines>0</Lines>
  <Paragraphs>0</Paragraphs>
  <TotalTime>7</TotalTime>
  <ScaleCrop>false</ScaleCrop>
  <LinksUpToDate>false</LinksUpToDate>
  <CharactersWithSpaces>2776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邓友财</cp:lastModifiedBy>
  <cp:lastPrinted>2025-08-11T00:41:00Z</cp:lastPrinted>
  <dcterms:modified xsi:type="dcterms:W3CDTF">2025-08-13T02:12:06Z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E1D0AA7EE67F45BB83F8B577842CDA82_13</vt:lpwstr>
  </property>
  <property fmtid="{D5CDD505-2E9C-101B-9397-08002B2CF9AE}" pid="4" name="KSOTemplateDocerSaveRecord">
    <vt:lpwstr>eyJoZGlkIjoiZDdmZTY2NDk1MzBkNGRhZjBhMjE0MmZjZThiODc4YzUiLCJ1c2VySWQiOiIyMTc0NTkyMTkifQ==</vt:lpwstr>
  </property>
</Properties>
</file>