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sz w:val="48"/>
          <w:b/>
        </w:rPr>
        <w:t>福建省政府采购</w:t>
      </w:r>
    </w:p>
    <w:p>
      <w:pPr>
        <w:pStyle w:val="null3"/>
        <w:jc w:val="center"/>
        <w:outlineLvl w:val="0"/>
      </w:pPr>
      <w:r>
        <w:rPr>
          <w:sz w:val="48"/>
          <w:b/>
        </w:rPr>
        <w:t>货物和服务项目</w:t>
      </w:r>
    </w:p>
    <w:p>
      <w:pPr>
        <w:pStyle w:val="null3"/>
        <w:jc w:val="center"/>
        <w:outlineLvl w:val="0"/>
      </w:pPr>
      <w:r>
        <w:rPr>
          <w:sz w:val="48"/>
          <w:b/>
        </w:rPr>
        <w:t>公开招标文件</w:t>
      </w:r>
    </w:p>
    <w:p>
      <w:pPr>
        <w:pStyle w:val="null3"/>
        <w:jc w:val="center"/>
        <w:outlineLvl w:val="2"/>
      </w:pPr>
      <w:r>
        <w:rPr>
          <w:sz w:val="28"/>
          <w:b/>
        </w:rPr>
        <w:t>项目名称：</w:t>
      </w:r>
      <w:r>
        <w:rPr>
          <w:sz w:val="28"/>
          <w:b/>
        </w:rPr>
        <w:t>福州市皮肤病防治院南院台式计算机、台式一体机等设备采购</w:t>
      </w:r>
    </w:p>
    <w:p>
      <w:pPr>
        <w:pStyle w:val="null3"/>
        <w:jc w:val="center"/>
        <w:outlineLvl w:val="2"/>
      </w:pPr>
      <w:r>
        <w:rPr>
          <w:sz w:val="28"/>
          <w:b/>
        </w:rPr>
        <w:t>备案编号：</w:t>
      </w:r>
      <w:r>
        <w:rPr>
          <w:sz w:val="28"/>
          <w:b/>
        </w:rPr>
        <w:t>CGXM-2024-350101-05284[2024]03237</w:t>
      </w:r>
    </w:p>
    <w:p>
      <w:pPr>
        <w:pStyle w:val="null3"/>
        <w:jc w:val="center"/>
        <w:outlineLvl w:val="2"/>
      </w:pPr>
      <w:r>
        <w:rPr>
          <w:sz w:val="28"/>
          <w:b/>
        </w:rPr>
        <w:t>项目编号：</w:t>
      </w:r>
      <w:r>
        <w:rPr>
          <w:sz w:val="28"/>
          <w:b/>
        </w:rPr>
        <w:t>[350101]FZJYZX[GK]2024037</w:t>
      </w:r>
    </w:p>
    <w:p>
      <w:pPr>
        <w:pStyle w:val="null3"/>
        <w:jc w:val="center"/>
        <w:outlineLvl w:val="2"/>
      </w:pPr>
      <w:r>
        <w:rPr>
          <w:sz w:val="28"/>
          <w:b/>
        </w:rPr>
        <w:t>采购人：</w:t>
      </w:r>
      <w:r>
        <w:rPr>
          <w:sz w:val="28"/>
          <w:b/>
        </w:rPr>
        <w:t>福州市皮肤病防治院</w:t>
      </w:r>
    </w:p>
    <w:p>
      <w:pPr>
        <w:pStyle w:val="null3"/>
        <w:jc w:val="center"/>
        <w:outlineLvl w:val="2"/>
      </w:pPr>
      <w:r>
        <w:rPr>
          <w:sz w:val="28"/>
          <w:b/>
        </w:rPr>
        <w:t>代理机构：</w:t>
      </w:r>
      <w:r>
        <w:rPr>
          <w:sz w:val="28"/>
          <w:b/>
        </w:rPr>
        <w:t>福州市公共资源交易服务中心</w:t>
      </w:r>
    </w:p>
    <w:p>
      <w:pPr>
        <w:pStyle w:val="null3"/>
        <w:jc w:val="center"/>
        <w:outlineLvl w:val="2"/>
      </w:pPr>
      <w:r>
        <w:rPr>
          <w:sz w:val="28"/>
          <w:b/>
        </w:rPr>
        <w:t>编制时间</w:t>
      </w:r>
      <w:r>
        <w:rPr>
          <w:sz w:val="28"/>
          <w:b/>
        </w:rPr>
        <w:t>：</w:t>
      </w:r>
      <w:r>
        <w:rPr>
          <w:sz w:val="28"/>
          <w:b/>
        </w:rPr>
        <w:t>2024年09月</w:t>
      </w:r>
    </w:p>
    <w:p>
      <w:pPr>
        <w:pStyle w:val="null3"/>
      </w:pPr>
      <w:r>
        <w:rPr/>
        <w:t xml:space="preserve"> </w:t>
        <w:br/>
        <w:br w:type="page"/>
      </w:r>
    </w:p>
    <w:p>
      <w:pPr>
        <w:pStyle w:val="null3"/>
        <w:jc w:val="center"/>
        <w:outlineLvl w:val="1"/>
      </w:pPr>
      <w:r>
        <w:rPr>
          <w:sz w:val="36"/>
          <w:b/>
        </w:rPr>
        <w:t>第一章 投标邀请</w:t>
      </w:r>
    </w:p>
    <w:p>
      <w:pPr>
        <w:pStyle w:val="null3"/>
        <w:ind w:firstLine="480"/>
        <w:jc w:val="both"/>
      </w:pPr>
      <w:r>
        <w:rPr/>
        <w:t>福州市公共资源交易服务中心</w:t>
      </w:r>
      <w:r>
        <w:rPr/>
        <w:t xml:space="preserve"> 采用公开招标方式组织 </w:t>
      </w:r>
      <w:r>
        <w:rPr/>
        <w:t>福州市皮肤病防治院南院台式计算机、台式一体机等设备采购</w:t>
      </w:r>
      <w:r>
        <w:rPr/>
        <w:t xml:space="preserve"> （以下简称：“本项目”）的政府采购活动，现邀请供应商参加投标。</w:t>
      </w:r>
    </w:p>
    <w:p>
      <w:pPr>
        <w:pStyle w:val="null3"/>
        <w:ind w:firstLine="480"/>
        <w:jc w:val="left"/>
        <w:outlineLvl w:val="2"/>
      </w:pPr>
      <w:r>
        <w:rPr>
          <w:sz w:val="28"/>
          <w:b/>
        </w:rPr>
        <w:t>1、备案编号</w:t>
      </w:r>
      <w:r>
        <w:rPr>
          <w:sz w:val="28"/>
          <w:b/>
        </w:rPr>
        <w:t>：</w:t>
      </w:r>
      <w:r>
        <w:rPr>
          <w:sz w:val="28"/>
          <w:b/>
        </w:rPr>
        <w:t>CGXM-2024-350101-05284[2024]03237</w:t>
      </w:r>
    </w:p>
    <w:p>
      <w:pPr>
        <w:pStyle w:val="null3"/>
        <w:ind w:firstLine="480"/>
        <w:jc w:val="left"/>
        <w:outlineLvl w:val="2"/>
      </w:pPr>
      <w:r>
        <w:rPr>
          <w:sz w:val="28"/>
          <w:b/>
        </w:rPr>
        <w:t>2、项目编号</w:t>
      </w:r>
      <w:r>
        <w:rPr>
          <w:sz w:val="28"/>
          <w:b/>
        </w:rPr>
        <w:t>：</w:t>
      </w:r>
      <w:r>
        <w:rPr>
          <w:sz w:val="28"/>
          <w:b/>
        </w:rPr>
        <w:t>[350101]FZJYZX[GK]2024037</w:t>
      </w:r>
    </w:p>
    <w:p>
      <w:pPr>
        <w:pStyle w:val="null3"/>
        <w:ind w:firstLine="480"/>
        <w:jc w:val="both"/>
        <w:outlineLvl w:val="2"/>
      </w:pPr>
      <w:r>
        <w:rPr>
          <w:sz w:val="28"/>
          <w:b/>
        </w:rPr>
        <w:t>3、预算金额、最高限价</w:t>
      </w:r>
      <w:r>
        <w:rPr>
          <w:sz w:val="28"/>
          <w:b/>
        </w:rPr>
        <w:t>：详见《采购标的一览表》。</w:t>
      </w:r>
    </w:p>
    <w:p>
      <w:pPr>
        <w:pStyle w:val="null3"/>
        <w:ind w:firstLine="480"/>
        <w:jc w:val="left"/>
        <w:outlineLvl w:val="2"/>
      </w:pPr>
      <w:r>
        <w:rPr>
          <w:sz w:val="28"/>
          <w:b/>
        </w:rPr>
        <w:t>4、招标内容及要求</w:t>
      </w:r>
      <w:r>
        <w:rPr>
          <w:sz w:val="28"/>
          <w:b/>
        </w:rPr>
        <w:t>：详见《采购标的一览表》及招标文件第五章。</w:t>
      </w:r>
    </w:p>
    <w:p>
      <w:pPr>
        <w:pStyle w:val="null3"/>
        <w:ind w:firstLine="480"/>
        <w:jc w:val="left"/>
        <w:outlineLvl w:val="2"/>
      </w:pPr>
      <w:r>
        <w:rPr>
          <w:sz w:val="28"/>
          <w:b/>
        </w:rPr>
        <w:t>5、需要落实的政府采购政策</w:t>
      </w:r>
    </w:p>
    <w:p>
      <w:pPr>
        <w:pStyle w:val="null3"/>
        <w:ind w:firstLine="960"/>
        <w:jc w:val="left"/>
      </w:pPr>
      <w:r>
        <w:rPr/>
        <w:t>进口产品：</w:t>
      </w:r>
      <w:r>
        <w:rPr/>
        <w:t>无</w:t>
      </w:r>
    </w:p>
    <w:p>
      <w:pPr>
        <w:pStyle w:val="null3"/>
        <w:ind w:firstLine="960"/>
        <w:jc w:val="left"/>
      </w:pPr>
      <w:r>
        <w:rPr/>
        <w:t>节能产品：</w:t>
      </w:r>
      <w:r>
        <w:rPr/>
        <w:t>适用于（包1），按财库〔2019〕19号节能产品政府采购品目清单执行。</w:t>
      </w:r>
    </w:p>
    <w:p>
      <w:pPr>
        <w:pStyle w:val="null3"/>
        <w:ind w:firstLine="960"/>
        <w:jc w:val="left"/>
      </w:pPr>
      <w:r>
        <w:rPr/>
        <w:t>环境标志产品：</w:t>
      </w:r>
      <w:r>
        <w:rPr/>
        <w:t>适用于（包1），按财库〔2019〕18号环境标志产品政府采购品目清单执行。</w:t>
      </w:r>
    </w:p>
    <w:p>
      <w:pPr>
        <w:pStyle w:val="null3"/>
        <w:ind w:firstLine="960"/>
        <w:jc w:val="left"/>
      </w:pPr>
      <w:r>
        <w:rPr/>
        <w:t>促进中小企业发展的相关政策：</w:t>
      </w:r>
    </w:p>
    <w:p>
      <w:pPr>
        <w:pStyle w:val="null3"/>
        <w:ind w:firstLine="960"/>
        <w:jc w:val="left"/>
      </w:pPr>
      <w:r>
        <w:rPr/>
        <w:t>采购包1：不专门面向中小企业采购</w:t>
      </w:r>
    </w:p>
    <w:p>
      <w:pPr>
        <w:pStyle w:val="null3"/>
        <w:ind w:firstLine="480"/>
        <w:jc w:val="both"/>
        <w:outlineLvl w:val="2"/>
      </w:pPr>
      <w:r>
        <w:rPr>
          <w:sz w:val="28"/>
          <w:b/>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资格承诺函（若有）</w:t>
            </w:r>
          </w:p>
        </w:tc>
        <w:tc>
          <w:tcPr>
            <w:tcW w:type="dxa" w:w="4614"/>
          </w:tcPr>
          <w:p>
            <w:pPr>
              <w:pStyle w:val="null3"/>
              <w:jc w:val="left"/>
            </w:pPr>
            <w:r>
              <w:rPr/>
              <w:t>根据《福州市财政局关于进一步推进政府采购领域优化营 商环境工作的通知》（榕财采〔2021〕52号），2022年1月1日起，预算金额在500万元以内的政府采购项目推行供应商资格证明材料承诺制。供应商在投标（响应）时，可自行选择是否按该通知规定提供资格承诺函，若按规定提供资格承诺函的，无需再提交财务状况、缴纳税收和社保资金缴纳等证明材料。注：采购人有权在签订合同前要求成交人提供相关证明材料以核实成交人承诺事项的真实性。响应人应当遵循诚实守信的原则，不得作出虚假承诺，承诺不实的，属于提供虚假材料谋取中标、成交，依法追究相关的法律责任。</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sz w:val="28"/>
          <w:b/>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sz w:val="28"/>
          <w:b/>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sz w:val="28"/>
          <w:b/>
        </w:rPr>
        <w:t>9、开标时间及地点</w:t>
      </w:r>
    </w:p>
    <w:p>
      <w:pPr>
        <w:pStyle w:val="null3"/>
        <w:ind w:firstLine="960"/>
        <w:jc w:val="both"/>
      </w:pPr>
      <w:r>
        <w:rPr/>
        <w:t>详见招标公告或更正公告，若不一致，以更正公告为准。</w:t>
      </w:r>
    </w:p>
    <w:p>
      <w:pPr>
        <w:pStyle w:val="null3"/>
        <w:ind w:firstLine="480"/>
        <w:jc w:val="both"/>
        <w:outlineLvl w:val="2"/>
      </w:pPr>
      <w:r>
        <w:rPr>
          <w:sz w:val="28"/>
          <w:b/>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sz w:val="28"/>
          <w:b/>
        </w:rPr>
        <w:t>11、采购人</w:t>
      </w:r>
      <w:r>
        <w:rPr>
          <w:sz w:val="28"/>
          <w:b/>
        </w:rPr>
        <w:t>：</w:t>
      </w:r>
      <w:r>
        <w:rPr>
          <w:sz w:val="28"/>
          <w:b/>
        </w:rPr>
        <w:t>福州市皮肤病防治院</w:t>
      </w:r>
    </w:p>
    <w:p>
      <w:pPr>
        <w:pStyle w:val="null3"/>
        <w:ind w:firstLine="960"/>
        <w:jc w:val="left"/>
      </w:pPr>
      <w:r>
        <w:rPr/>
        <w:t xml:space="preserve"> 地址： </w:t>
      </w:r>
      <w:r>
        <w:rPr/>
        <w:t>福州市鼓楼区西洪路243号</w:t>
      </w:r>
    </w:p>
    <w:p>
      <w:pPr>
        <w:pStyle w:val="null3"/>
        <w:jc w:val="left"/>
      </w:pPr>
      <w:r>
        <w:rPr/>
        <w:t xml:space="preserve"> 邮编： </w:t>
      </w:r>
      <w:r>
        <w:rPr/>
        <w:t>350000</w:t>
      </w:r>
    </w:p>
    <w:p>
      <w:pPr>
        <w:pStyle w:val="null3"/>
        <w:jc w:val="left"/>
      </w:pPr>
      <w:r>
        <w:rPr/>
        <w:t xml:space="preserve"> 联系人： </w:t>
      </w:r>
      <w:r>
        <w:rPr/>
        <w:t>陈希</w:t>
      </w:r>
    </w:p>
    <w:p>
      <w:pPr>
        <w:pStyle w:val="null3"/>
        <w:jc w:val="left"/>
      </w:pPr>
      <w:r>
        <w:rPr/>
        <w:t xml:space="preserve"> 联系电话： </w:t>
      </w:r>
      <w:r>
        <w:rPr/>
        <w:t>83787036</w:t>
      </w:r>
    </w:p>
    <w:p>
      <w:pPr>
        <w:pStyle w:val="null3"/>
        <w:ind w:firstLine="480"/>
        <w:jc w:val="left"/>
        <w:outlineLvl w:val="2"/>
      </w:pPr>
      <w:r>
        <w:rPr>
          <w:sz w:val="28"/>
          <w:b/>
        </w:rPr>
        <w:t>12、代理机构</w:t>
      </w:r>
      <w:r>
        <w:rPr>
          <w:sz w:val="28"/>
          <w:b/>
        </w:rPr>
        <w:t>：</w:t>
      </w:r>
      <w:r>
        <w:rPr>
          <w:sz w:val="28"/>
          <w:b/>
        </w:rPr>
        <w:t>福州市公共资源交易服务中心</w:t>
      </w:r>
    </w:p>
    <w:p>
      <w:pPr>
        <w:pStyle w:val="null3"/>
        <w:ind w:firstLine="960"/>
        <w:jc w:val="both"/>
      </w:pPr>
      <w:r>
        <w:rPr/>
        <w:t xml:space="preserve"> 地址： </w:t>
      </w:r>
      <w:r>
        <w:rPr/>
        <w:t>福州市仓山区南江滨西大道199号福州市展示规划馆三楼</w:t>
      </w:r>
    </w:p>
    <w:p>
      <w:pPr>
        <w:pStyle w:val="null3"/>
        <w:jc w:val="both"/>
      </w:pPr>
      <w:r>
        <w:rPr/>
        <w:t xml:space="preserve"> 邮编： </w:t>
      </w:r>
      <w:r>
        <w:rPr/>
        <w:t>350000</w:t>
      </w:r>
    </w:p>
    <w:p>
      <w:pPr>
        <w:pStyle w:val="null3"/>
        <w:jc w:val="both"/>
      </w:pPr>
      <w:r>
        <w:rPr/>
        <w:t xml:space="preserve"> 联系人： </w:t>
      </w:r>
      <w:r>
        <w:rPr/>
        <w:t>马维婕</w:t>
      </w:r>
    </w:p>
    <w:p>
      <w:pPr>
        <w:pStyle w:val="null3"/>
        <w:jc w:val="both"/>
      </w:pPr>
      <w:r>
        <w:rPr/>
        <w:t xml:space="preserve"> 联系电话： </w:t>
      </w:r>
      <w:r>
        <w:rPr/>
        <w:t>系统问题400-161-2666，采购文件咨询83355029 ，评审咨询83355031</w:t>
      </w:r>
    </w:p>
    <w:p>
      <w:pPr>
        <w:pStyle w:val="null3"/>
        <w:ind w:firstLine="480"/>
        <w:jc w:val="both"/>
        <w:outlineLvl w:val="2"/>
      </w:pPr>
      <w:r>
        <w:rPr>
          <w:sz w:val="28"/>
          <w:b/>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福州市公共资源交易服务中心</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sz w:val="28"/>
          <w:b/>
        </w:rPr>
        <w:t>附2：采购标的一览表</w:t>
      </w:r>
    </w:p>
    <w:p>
      <w:pPr>
        <w:pStyle w:val="null3"/>
        <w:jc w:val="left"/>
      </w:pPr>
      <w:r>
        <w:rPr/>
        <w:t>采购包1：</w:t>
      </w:r>
    </w:p>
    <w:p>
      <w:pPr>
        <w:pStyle w:val="null3"/>
        <w:jc w:val="left"/>
      </w:pPr>
      <w:r>
        <w:rPr/>
        <w:t>采购包预算金额（元）: 693,400.00</w:t>
      </w:r>
    </w:p>
    <w:p>
      <w:pPr>
        <w:pStyle w:val="null3"/>
        <w:jc w:val="left"/>
      </w:pPr>
      <w:r>
        <w:rPr/>
        <w:t>采购包最高限价（元）: 693,400.00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台式计算机</w:t>
            </w:r>
          </w:p>
        </w:tc>
        <w:tc>
          <w:tcPr>
            <w:tcW w:type="dxa" w:w="1187"/>
          </w:tcPr>
          <w:p>
            <w:pPr>
              <w:pStyle w:val="null3"/>
              <w:jc w:val="right"/>
            </w:pPr>
            <w:r>
              <w:rPr/>
              <w:t>134.00</w:t>
            </w:r>
          </w:p>
        </w:tc>
        <w:tc>
          <w:tcPr>
            <w:tcW w:type="dxa" w:w="1187"/>
          </w:tcPr>
          <w:p>
            <w:pPr>
              <w:pStyle w:val="null3"/>
              <w:jc w:val="right"/>
            </w:pPr>
            <w:r>
              <w:rPr/>
              <w:t>670,000.00</w:t>
            </w:r>
          </w:p>
        </w:tc>
        <w:tc>
          <w:tcPr>
            <w:tcW w:type="dxa" w:w="1187"/>
          </w:tcPr>
          <w:p>
            <w:pPr>
              <w:pStyle w:val="null3"/>
              <w:jc w:val="left"/>
            </w:pPr>
            <w:r>
              <w:rPr/>
              <w:t>台</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2</w:t>
            </w:r>
          </w:p>
        </w:tc>
        <w:tc>
          <w:tcPr>
            <w:tcW w:type="dxa" w:w="1187"/>
          </w:tcPr>
          <w:p>
            <w:pPr>
              <w:pStyle w:val="null3"/>
              <w:jc w:val="left"/>
            </w:pPr>
            <w:r>
              <w:rPr/>
              <w:t>台式一体机</w:t>
            </w:r>
          </w:p>
        </w:tc>
        <w:tc>
          <w:tcPr>
            <w:tcW w:type="dxa" w:w="1187"/>
          </w:tcPr>
          <w:p>
            <w:pPr>
              <w:pStyle w:val="null3"/>
              <w:jc w:val="right"/>
            </w:pPr>
            <w:r>
              <w:rPr/>
              <w:t>3.00</w:t>
            </w:r>
          </w:p>
        </w:tc>
        <w:tc>
          <w:tcPr>
            <w:tcW w:type="dxa" w:w="1187"/>
          </w:tcPr>
          <w:p>
            <w:pPr>
              <w:pStyle w:val="null3"/>
              <w:jc w:val="right"/>
            </w:pPr>
            <w:r>
              <w:rPr/>
              <w:t>15,000.00</w:t>
            </w:r>
          </w:p>
        </w:tc>
        <w:tc>
          <w:tcPr>
            <w:tcW w:type="dxa" w:w="1187"/>
          </w:tcPr>
          <w:p>
            <w:pPr>
              <w:pStyle w:val="null3"/>
              <w:jc w:val="left"/>
            </w:pPr>
            <w:r>
              <w:rPr/>
              <w:t>台</w:t>
            </w:r>
          </w:p>
        </w:tc>
        <w:tc>
          <w:tcPr>
            <w:tcW w:type="dxa" w:w="1187"/>
          </w:tcPr>
          <w:p>
            <w:pPr>
              <w:pStyle w:val="null3"/>
              <w:jc w:val="left"/>
            </w:pPr>
            <w:r>
              <w:rPr/>
              <w:t>工业</w:t>
            </w:r>
          </w:p>
        </w:tc>
        <w:tc>
          <w:tcPr>
            <w:tcW w:type="dxa" w:w="1187"/>
          </w:tcPr>
          <w:p>
            <w:pPr>
              <w:pStyle w:val="null3"/>
              <w:jc w:val="left"/>
            </w:pPr>
            <w:r>
              <w:rPr/>
              <w:t>否</w:t>
            </w:r>
          </w:p>
        </w:tc>
      </w:tr>
      <w:tr>
        <w:tc>
          <w:tcPr>
            <w:tcW w:type="dxa" w:w="1187"/>
          </w:tcPr>
          <w:p>
            <w:pPr>
              <w:pStyle w:val="null3"/>
              <w:jc w:val="left"/>
            </w:pPr>
            <w:r>
              <w:rPr/>
              <w:t>3</w:t>
            </w:r>
          </w:p>
        </w:tc>
        <w:tc>
          <w:tcPr>
            <w:tcW w:type="dxa" w:w="1187"/>
          </w:tcPr>
          <w:p>
            <w:pPr>
              <w:pStyle w:val="null3"/>
              <w:jc w:val="left"/>
            </w:pPr>
            <w:r>
              <w:rPr/>
              <w:t>扫码显示屏</w:t>
            </w:r>
          </w:p>
        </w:tc>
        <w:tc>
          <w:tcPr>
            <w:tcW w:type="dxa" w:w="1187"/>
          </w:tcPr>
          <w:p>
            <w:pPr>
              <w:pStyle w:val="null3"/>
              <w:jc w:val="right"/>
            </w:pPr>
            <w:r>
              <w:rPr/>
              <w:t>3.00</w:t>
            </w:r>
          </w:p>
        </w:tc>
        <w:tc>
          <w:tcPr>
            <w:tcW w:type="dxa" w:w="1187"/>
          </w:tcPr>
          <w:p>
            <w:pPr>
              <w:pStyle w:val="null3"/>
              <w:jc w:val="right"/>
            </w:pPr>
            <w:r>
              <w:rPr/>
              <w:t>8,400.00</w:t>
            </w:r>
          </w:p>
        </w:tc>
        <w:tc>
          <w:tcPr>
            <w:tcW w:type="dxa" w:w="1187"/>
          </w:tcPr>
          <w:p>
            <w:pPr>
              <w:pStyle w:val="null3"/>
              <w:jc w:val="left"/>
            </w:pPr>
            <w:r>
              <w:rPr/>
              <w:t>台</w:t>
            </w:r>
          </w:p>
        </w:tc>
        <w:tc>
          <w:tcPr>
            <w:tcW w:type="dxa" w:w="1187"/>
          </w:tcPr>
          <w:p>
            <w:pPr>
              <w:pStyle w:val="null3"/>
              <w:jc w:val="left"/>
            </w:pPr>
            <w:r>
              <w:rPr/>
              <w:t>工业</w:t>
            </w:r>
          </w:p>
        </w:tc>
        <w:tc>
          <w:tcPr>
            <w:tcW w:type="dxa" w:w="1187"/>
          </w:tcPr>
          <w:p>
            <w:pPr>
              <w:pStyle w:val="null3"/>
              <w:jc w:val="left"/>
            </w:pPr>
            <w:r>
              <w:rPr/>
              <w:t>否</w:t>
            </w:r>
          </w:p>
        </w:tc>
      </w:tr>
    </w:tbl>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t>序号</w:t>
            </w:r>
          </w:p>
        </w:tc>
        <w:tc>
          <w:tcPr>
            <w:tcW w:type="dxa" w:w="3046"/>
          </w:tcPr>
          <w:p>
            <w:pPr>
              <w:pStyle w:val="null3"/>
              <w:jc w:val="left"/>
            </w:pPr>
            <w:r>
              <w:rPr/>
              <w:t>报价内容</w:t>
            </w:r>
          </w:p>
        </w:tc>
        <w:tc>
          <w:tcPr>
            <w:tcW w:type="dxa" w:w="554"/>
          </w:tcPr>
          <w:p>
            <w:pPr>
              <w:pStyle w:val="null3"/>
              <w:jc w:val="left"/>
            </w:pPr>
            <w:r>
              <w:rPr/>
              <w:t>计量单位</w:t>
            </w:r>
          </w:p>
        </w:tc>
        <w:tc>
          <w:tcPr>
            <w:tcW w:type="dxa" w:w="554"/>
          </w:tcPr>
          <w:p>
            <w:pPr>
              <w:pStyle w:val="null3"/>
              <w:jc w:val="left"/>
            </w:pPr>
            <w:r>
              <w:rPr/>
              <w:t>报价单位</w:t>
            </w:r>
          </w:p>
        </w:tc>
        <w:tc>
          <w:tcPr>
            <w:tcW w:type="dxa" w:w="1384"/>
          </w:tcPr>
          <w:p>
            <w:pPr>
              <w:pStyle w:val="null3"/>
              <w:jc w:val="left"/>
            </w:pPr>
            <w:r>
              <w:rPr/>
              <w:t>最高限价</w:t>
            </w:r>
          </w:p>
        </w:tc>
        <w:tc>
          <w:tcPr>
            <w:tcW w:type="dxa" w:w="1384"/>
          </w:tcPr>
          <w:p>
            <w:pPr>
              <w:pStyle w:val="null3"/>
              <w:jc w:val="left"/>
            </w:pPr>
            <w:r>
              <w:rPr/>
              <w:t>价款形式</w:t>
            </w:r>
          </w:p>
        </w:tc>
        <w:tc>
          <w:tcPr>
            <w:tcW w:type="dxa" w:w="1038"/>
          </w:tcPr>
          <w:p>
            <w:pPr>
              <w:pStyle w:val="null3"/>
              <w:jc w:val="left"/>
            </w:pPr>
            <w:r>
              <w:rPr/>
              <w:t>报价说明</w:t>
            </w:r>
          </w:p>
        </w:tc>
      </w:tr>
      <w:tr>
        <w:tc>
          <w:tcPr>
            <w:tcW w:type="dxa" w:w="346"/>
          </w:tcPr>
          <w:p>
            <w:pPr>
              <w:pStyle w:val="null3"/>
              <w:jc w:val="left"/>
            </w:pPr>
            <w:r>
              <w:rPr/>
              <w:t>1</w:t>
            </w:r>
          </w:p>
        </w:tc>
        <w:tc>
          <w:tcPr>
            <w:tcW w:type="dxa" w:w="3046"/>
          </w:tcPr>
          <w:p>
            <w:pPr>
              <w:pStyle w:val="null3"/>
              <w:jc w:val="left"/>
            </w:pPr>
            <w:r>
              <w:rPr/>
              <w:t>台式计算机</w:t>
            </w:r>
          </w:p>
        </w:tc>
        <w:tc>
          <w:tcPr>
            <w:tcW w:type="dxa" w:w="554"/>
          </w:tcPr>
          <w:p>
            <w:pPr>
              <w:pStyle w:val="null3"/>
              <w:jc w:val="left"/>
            </w:pPr>
            <w:r>
              <w:rPr/>
              <w:t>台</w:t>
            </w:r>
          </w:p>
        </w:tc>
        <w:tc>
          <w:tcPr>
            <w:tcW w:type="dxa" w:w="554"/>
          </w:tcPr>
          <w:p>
            <w:pPr>
              <w:pStyle w:val="null3"/>
              <w:jc w:val="left"/>
            </w:pPr>
            <w:r>
              <w:rPr/>
              <w:t>元</w:t>
            </w:r>
          </w:p>
        </w:tc>
        <w:tc>
          <w:tcPr>
            <w:tcW w:type="dxa" w:w="1384"/>
          </w:tcPr>
          <w:p>
            <w:pPr>
              <w:pStyle w:val="null3"/>
              <w:jc w:val="right"/>
            </w:pPr>
            <w:r>
              <w:rPr/>
              <w:t>670,000.00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2</w:t>
            </w:r>
          </w:p>
        </w:tc>
        <w:tc>
          <w:tcPr>
            <w:tcW w:type="dxa" w:w="3046"/>
          </w:tcPr>
          <w:p>
            <w:pPr>
              <w:pStyle w:val="null3"/>
              <w:jc w:val="left"/>
            </w:pPr>
            <w:r>
              <w:rPr/>
              <w:t>台式一体机</w:t>
            </w:r>
          </w:p>
        </w:tc>
        <w:tc>
          <w:tcPr>
            <w:tcW w:type="dxa" w:w="554"/>
          </w:tcPr>
          <w:p>
            <w:pPr>
              <w:pStyle w:val="null3"/>
              <w:jc w:val="left"/>
            </w:pPr>
            <w:r>
              <w:rPr/>
              <w:t>台</w:t>
            </w:r>
          </w:p>
        </w:tc>
        <w:tc>
          <w:tcPr>
            <w:tcW w:type="dxa" w:w="554"/>
          </w:tcPr>
          <w:p>
            <w:pPr>
              <w:pStyle w:val="null3"/>
              <w:jc w:val="left"/>
            </w:pPr>
            <w:r>
              <w:rPr/>
              <w:t>元</w:t>
            </w:r>
          </w:p>
        </w:tc>
        <w:tc>
          <w:tcPr>
            <w:tcW w:type="dxa" w:w="1384"/>
          </w:tcPr>
          <w:p>
            <w:pPr>
              <w:pStyle w:val="null3"/>
              <w:jc w:val="right"/>
            </w:pPr>
            <w:r>
              <w:rPr/>
              <w:t>15,000.00</w:t>
            </w:r>
          </w:p>
        </w:tc>
        <w:tc>
          <w:tcPr>
            <w:tcW w:type="dxa" w:w="1384"/>
          </w:tcPr>
          <w:p>
            <w:pPr>
              <w:pStyle w:val="null3"/>
              <w:jc w:val="left"/>
            </w:pPr>
            <w:r>
              <w:rPr/>
              <w:t>总价</w:t>
            </w:r>
          </w:p>
        </w:tc>
        <w:tc>
          <w:tcPr>
            <w:tcW w:type="dxa" w:w="1038"/>
          </w:tcPr>
          <w:p>
            <w:pPr>
              <w:pStyle w:val="null3"/>
              <w:jc w:val="left"/>
            </w:pPr>
            <w:r>
              <w:rPr/>
              <w:t>无</w:t>
            </w:r>
          </w:p>
        </w:tc>
      </w:tr>
      <w:tr>
        <w:tc>
          <w:tcPr>
            <w:tcW w:type="dxa" w:w="346"/>
          </w:tcPr>
          <w:p>
            <w:pPr>
              <w:pStyle w:val="null3"/>
              <w:jc w:val="left"/>
            </w:pPr>
            <w:r>
              <w:rPr/>
              <w:t>3</w:t>
            </w:r>
          </w:p>
        </w:tc>
        <w:tc>
          <w:tcPr>
            <w:tcW w:type="dxa" w:w="3046"/>
          </w:tcPr>
          <w:p>
            <w:pPr>
              <w:pStyle w:val="null3"/>
              <w:jc w:val="left"/>
            </w:pPr>
            <w:r>
              <w:rPr/>
              <w:t>扫码显示屏</w:t>
            </w:r>
          </w:p>
        </w:tc>
        <w:tc>
          <w:tcPr>
            <w:tcW w:type="dxa" w:w="554"/>
          </w:tcPr>
          <w:p>
            <w:pPr>
              <w:pStyle w:val="null3"/>
              <w:jc w:val="left"/>
            </w:pPr>
            <w:r>
              <w:rPr/>
              <w:t>台</w:t>
            </w:r>
          </w:p>
        </w:tc>
        <w:tc>
          <w:tcPr>
            <w:tcW w:type="dxa" w:w="554"/>
          </w:tcPr>
          <w:p>
            <w:pPr>
              <w:pStyle w:val="null3"/>
              <w:jc w:val="left"/>
            </w:pPr>
            <w:r>
              <w:rPr/>
              <w:t>元</w:t>
            </w:r>
          </w:p>
        </w:tc>
        <w:tc>
          <w:tcPr>
            <w:tcW w:type="dxa" w:w="1384"/>
          </w:tcPr>
          <w:p>
            <w:pPr>
              <w:pStyle w:val="null3"/>
              <w:jc w:val="right"/>
            </w:pPr>
            <w:r>
              <w:rPr/>
              <w:t>8,400.00</w:t>
            </w:r>
          </w:p>
        </w:tc>
        <w:tc>
          <w:tcPr>
            <w:tcW w:type="dxa" w:w="1384"/>
          </w:tcPr>
          <w:p>
            <w:pPr>
              <w:pStyle w:val="null3"/>
              <w:jc w:val="left"/>
            </w:pPr>
            <w:r>
              <w:rPr/>
              <w:t>总价</w:t>
            </w:r>
          </w:p>
        </w:tc>
        <w:tc>
          <w:tcPr>
            <w:tcW w:type="dxa" w:w="1038"/>
          </w:tcPr>
          <w:p>
            <w:pPr>
              <w:pStyle w:val="null3"/>
              <w:jc w:val="left"/>
            </w:pPr>
            <w:r>
              <w:rPr/>
              <w:t>无</w:t>
            </w:r>
          </w:p>
        </w:tc>
      </w:tr>
    </w:tbl>
    <w:p>
      <w:pPr>
        <w:pStyle w:val="null3"/>
        <w:jc w:val="left"/>
      </w:pPr>
      <w:r>
        <w:rPr/>
        <w:t>（2）报价明细要求：</w:t>
      </w:r>
    </w:p>
    <w:p>
      <w:pPr>
        <w:pStyle w:val="null3"/>
        <w:jc w:val="left"/>
      </w:pPr>
      <w:r>
        <w:rPr/>
        <w:t>台式计算机</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台式计算机</w:t>
            </w:r>
          </w:p>
        </w:tc>
        <w:tc>
          <w:tcPr>
            <w:tcW w:type="dxa" w:w="2076"/>
          </w:tcPr>
          <w:p>
            <w:pPr>
              <w:pStyle w:val="null3"/>
              <w:jc w:val="left"/>
            </w:pPr>
            <w:r>
              <w:rPr/>
              <w:t>台式计算机</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670,000.00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台式一体机</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台式一体机</w:t>
            </w:r>
          </w:p>
        </w:tc>
        <w:tc>
          <w:tcPr>
            <w:tcW w:type="dxa" w:w="2076"/>
          </w:tcPr>
          <w:p>
            <w:pPr>
              <w:pStyle w:val="null3"/>
              <w:jc w:val="left"/>
            </w:pPr>
            <w:r>
              <w:rPr/>
              <w:t>台式一体机</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15,000.00</w:t>
            </w:r>
          </w:p>
        </w:tc>
        <w:tc>
          <w:tcPr>
            <w:tcW w:type="dxa" w:w="831"/>
          </w:tcPr>
          <w:p>
            <w:pPr>
              <w:pStyle w:val="null3"/>
              <w:jc w:val="left"/>
            </w:pPr>
            <w:r>
              <w:rPr/>
              <w:t>总价</w:t>
            </w:r>
          </w:p>
        </w:tc>
        <w:tc>
          <w:tcPr>
            <w:tcW w:type="dxa" w:w="1246"/>
          </w:tcPr>
          <w:p>
            <w:pPr>
              <w:pStyle w:val="null3"/>
              <w:jc w:val="left"/>
            </w:pPr>
            <w:r>
              <w:rPr/>
              <w:t>无</w:t>
            </w:r>
          </w:p>
        </w:tc>
      </w:tr>
    </w:tbl>
    <w:p>
      <w:pPr>
        <w:pStyle w:val="null3"/>
        <w:jc w:val="left"/>
      </w:pPr>
      <w:r>
        <w:rPr/>
        <w:t>扫码显示屏</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3"/>
              <w:jc w:val="left"/>
            </w:pPr>
            <w:r>
              <w:rPr/>
              <w:t>序号</w:t>
            </w:r>
          </w:p>
        </w:tc>
        <w:tc>
          <w:tcPr>
            <w:tcW w:type="dxa" w:w="2076"/>
          </w:tcPr>
          <w:p>
            <w:pPr>
              <w:pStyle w:val="null3"/>
              <w:jc w:val="left"/>
            </w:pPr>
            <w:r>
              <w:rPr/>
              <w:t>报价明细内容</w:t>
            </w:r>
          </w:p>
        </w:tc>
        <w:tc>
          <w:tcPr>
            <w:tcW w:type="dxa" w:w="2076"/>
          </w:tcPr>
          <w:p>
            <w:pPr>
              <w:pStyle w:val="null3"/>
              <w:jc w:val="left"/>
            </w:pPr>
            <w:r>
              <w:rPr/>
              <w:t>报价要求</w:t>
            </w:r>
          </w:p>
        </w:tc>
        <w:tc>
          <w:tcPr>
            <w:tcW w:type="dxa" w:w="415"/>
          </w:tcPr>
          <w:p>
            <w:pPr>
              <w:pStyle w:val="null3"/>
              <w:jc w:val="left"/>
            </w:pPr>
            <w:r>
              <w:rPr/>
              <w:t>计量单位</w:t>
            </w:r>
          </w:p>
        </w:tc>
        <w:tc>
          <w:tcPr>
            <w:tcW w:type="dxa" w:w="415"/>
          </w:tcPr>
          <w:p>
            <w:pPr>
              <w:pStyle w:val="null3"/>
              <w:jc w:val="left"/>
            </w:pPr>
            <w:r>
              <w:rPr/>
              <w:t>报价单位</w:t>
            </w:r>
          </w:p>
        </w:tc>
        <w:tc>
          <w:tcPr>
            <w:tcW w:type="dxa" w:w="831"/>
          </w:tcPr>
          <w:p>
            <w:pPr>
              <w:pStyle w:val="null3"/>
              <w:jc w:val="left"/>
            </w:pPr>
            <w:r>
              <w:rPr/>
              <w:t>最高限价</w:t>
            </w:r>
          </w:p>
        </w:tc>
        <w:tc>
          <w:tcPr>
            <w:tcW w:type="dxa" w:w="831"/>
          </w:tcPr>
          <w:p>
            <w:pPr>
              <w:pStyle w:val="null3"/>
              <w:jc w:val="left"/>
            </w:pPr>
            <w:r>
              <w:rPr/>
              <w:t>价款形式</w:t>
            </w:r>
          </w:p>
        </w:tc>
        <w:tc>
          <w:tcPr>
            <w:tcW w:type="dxa" w:w="1246"/>
          </w:tcPr>
          <w:p>
            <w:pPr>
              <w:pStyle w:val="null3"/>
              <w:jc w:val="left"/>
            </w:pPr>
            <w:r>
              <w:rPr/>
              <w:t>报价说明</w:t>
            </w:r>
          </w:p>
        </w:tc>
      </w:tr>
      <w:tr>
        <w:tc>
          <w:tcPr>
            <w:tcW w:type="dxa" w:w="415"/>
          </w:tcPr>
          <w:p>
            <w:pPr>
              <w:pStyle w:val="null3"/>
              <w:jc w:val="left"/>
            </w:pPr>
            <w:r>
              <w:rPr/>
              <w:t>1</w:t>
            </w:r>
          </w:p>
        </w:tc>
        <w:tc>
          <w:tcPr>
            <w:tcW w:type="dxa" w:w="2076"/>
          </w:tcPr>
          <w:p>
            <w:pPr>
              <w:pStyle w:val="null3"/>
              <w:jc w:val="left"/>
            </w:pPr>
            <w:r>
              <w:rPr/>
              <w:t>扫码显示屏</w:t>
            </w:r>
          </w:p>
        </w:tc>
        <w:tc>
          <w:tcPr>
            <w:tcW w:type="dxa" w:w="2076"/>
          </w:tcPr>
          <w:p>
            <w:pPr>
              <w:pStyle w:val="null3"/>
              <w:jc w:val="left"/>
            </w:pPr>
            <w:r>
              <w:rPr/>
              <w:t>扫码显示屏</w:t>
            </w:r>
          </w:p>
        </w:tc>
        <w:tc>
          <w:tcPr>
            <w:tcW w:type="dxa" w:w="415"/>
          </w:tcPr>
          <w:p>
            <w:pPr>
              <w:pStyle w:val="null3"/>
              <w:jc w:val="left"/>
            </w:pPr>
            <w:r>
              <w:rPr/>
              <w:t>台</w:t>
            </w:r>
          </w:p>
        </w:tc>
        <w:tc>
          <w:tcPr>
            <w:tcW w:type="dxa" w:w="415"/>
          </w:tcPr>
          <w:p>
            <w:pPr>
              <w:pStyle w:val="null3"/>
              <w:jc w:val="left"/>
            </w:pPr>
            <w:r>
              <w:rPr/>
              <w:t>元</w:t>
            </w:r>
          </w:p>
        </w:tc>
        <w:tc>
          <w:tcPr>
            <w:tcW w:type="dxa" w:w="831"/>
          </w:tcPr>
          <w:p>
            <w:pPr>
              <w:pStyle w:val="null3"/>
              <w:jc w:val="right"/>
            </w:pPr>
            <w:r>
              <w:rPr/>
              <w:t>8,400.00</w:t>
            </w:r>
          </w:p>
        </w:tc>
        <w:tc>
          <w:tcPr>
            <w:tcW w:type="dxa" w:w="831"/>
          </w:tcPr>
          <w:p>
            <w:pPr>
              <w:pStyle w:val="null3"/>
              <w:jc w:val="left"/>
            </w:pPr>
            <w:r>
              <w:rPr/>
              <w:t>总价</w:t>
            </w:r>
          </w:p>
        </w:tc>
        <w:tc>
          <w:tcPr>
            <w:tcW w:type="dxa" w:w="1246"/>
          </w:tcPr>
          <w:p>
            <w:pPr>
              <w:pStyle w:val="null3"/>
              <w:jc w:val="left"/>
            </w:pPr>
            <w:r>
              <w:rPr/>
              <w:t>无</w:t>
            </w:r>
          </w:p>
        </w:tc>
      </w:tr>
    </w:tbl>
    <w:p>
      <w:pPr>
        <w:pStyle w:val="null3"/>
      </w:pPr>
      <w:r>
        <w:rPr/>
        <w:t xml:space="preserve"> </w:t>
        <w:br/>
        <w:br w:type="page"/>
      </w:r>
    </w:p>
    <w:p>
      <w:pPr>
        <w:pStyle w:val="null3"/>
        <w:jc w:val="center"/>
        <w:outlineLvl w:val="1"/>
      </w:pPr>
      <w:r>
        <w:rPr>
          <w:sz w:val="36"/>
          <w:b/>
        </w:rPr>
        <w:t>第二章 投标人须知前附表</w:t>
      </w:r>
    </w:p>
    <w:p>
      <w:pPr>
        <w:pStyle w:val="null3"/>
        <w:ind w:firstLine="480"/>
        <w:jc w:val="both"/>
        <w:outlineLvl w:val="2"/>
      </w:pPr>
      <w:r>
        <w:rPr>
          <w:sz w:val="28"/>
          <w:b/>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采购包1：1名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（1） </w:t>
            </w:r>
            <w:r>
              <w:rPr/>
              <w:t>采购人应在政府采购招投标管理办法规定的时限内确定中标人。</w:t>
            </w:r>
          </w:p>
          <w:p>
            <w:pPr>
              <w:pStyle w:val="null3"/>
              <w:jc w:val="left"/>
            </w:pPr>
            <w:r>
              <w:rPr/>
              <w:t>（2）若出现中标候选人并列情形，则按照下列方式确定中标人：</w:t>
            </w:r>
          </w:p>
          <w:p>
            <w:pPr>
              <w:pStyle w:val="null3"/>
              <w:jc w:val="left"/>
            </w:pPr>
            <w:r>
              <w:rPr/>
              <w:t>①招标文件规定的方式：</w:t>
            </w:r>
          </w:p>
          <w:p>
            <w:pPr>
              <w:pStyle w:val="null3"/>
              <w:jc w:val="left"/>
            </w:pPr>
            <w:r>
              <w:rPr/>
              <w:t>无</w:t>
            </w:r>
          </w:p>
          <w:p>
            <w:pPr>
              <w:pStyle w:val="null3"/>
              <w:jc w:val="left"/>
            </w:pPr>
            <w:r>
              <w:rPr/>
              <w:t>②若本款第①点规定方式为“无”，则按照下列方式确定：</w:t>
            </w:r>
          </w:p>
          <w:p>
            <w:pPr>
              <w:pStyle w:val="null3"/>
              <w:jc w:val="left"/>
            </w:pPr>
            <w:r>
              <w:rPr/>
              <w:t>无</w:t>
            </w:r>
          </w:p>
          <w:p>
            <w:pPr>
              <w:pStyle w:val="null3"/>
              <w:jc w:val="left"/>
            </w:pPr>
            <w:r>
              <w:rPr/>
              <w:t>③若本款第①、②点规定方式均为“无”，则按照下列方式确定：随机抽取。</w:t>
            </w:r>
          </w:p>
          <w:p>
            <w:pPr>
              <w:pStyle w:val="null3"/>
              <w:jc w:val="left"/>
            </w:pPr>
            <w:r>
              <w:rPr/>
              <w:t>（3）本项目确定的中标人家数：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 xml:space="preserve"> （1）潜在投标人可在质疑时效期间内对招标文件以书面形式提出质疑。</w:t>
            </w:r>
          </w:p>
          <w:p>
            <w:pPr>
              <w:pStyle w:val="null3"/>
              <w:jc w:val="left"/>
            </w:pPr>
            <w:r>
              <w:rPr/>
              <w:t xml:space="preserve"> （2）质疑时效期间：应在依法获取招标文件之日起7个工作日内向 </w:t>
            </w:r>
            <w:r>
              <w:rPr/>
              <w:t>福州市公共资源交易服务中心</w:t>
            </w:r>
            <w:r>
              <w:rPr/>
              <w:t xml:space="preserve"> 提出，依法获取招标文件的时间以福建省政府采购网上公开信息系统记载的为准。</w:t>
            </w:r>
          </w:p>
          <w:p>
            <w:pPr>
              <w:pStyle w:val="null3"/>
              <w:jc w:val="left"/>
            </w:pPr>
            <w:r>
              <w:rPr/>
              <w:t xml:space="preserve"> ※除上述规定外，对招标文件提出的质疑还应符合招标文件第三章第15.1条的有关规定。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福州市财政局</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本项目不收取代理服务费</w:t>
            </w:r>
          </w:p>
          <w:p>
            <w:pPr>
              <w:pStyle w:val="null3"/>
              <w:jc w:val="left"/>
            </w:pPr>
            <w:r>
              <w:rPr/>
              <w:t xml:space="preserve"> (2)其他：</w:t>
            </w:r>
          </w:p>
          <w:p>
            <w:pPr>
              <w:pStyle w:val="null3"/>
              <w:jc w:val="left"/>
            </w:pPr>
            <w:r>
              <w:rPr/>
              <w:t>无</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sz w:val="28"/>
          <w:b/>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无</w:t>
            </w:r>
            <w:r>
              <w:rPr/>
              <w:t xml:space="preserve"> 的内容修正为下列内容：</w:t>
            </w:r>
          </w:p>
          <w:p>
            <w:pPr>
              <w:pStyle w:val="null3"/>
              <w:jc w:val="left"/>
            </w:pPr>
            <w:r>
              <w:rPr/>
              <w:t>无</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投标（响应）报价明细表、投标客户端的投标（响应）报价明细表保持一致，并以投标客户端的投标（响应）报价明细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无</w:t>
            </w:r>
          </w:p>
        </w:tc>
      </w:tr>
    </w:tbl>
    <w:p>
      <w:pPr>
        <w:pStyle w:val="null3"/>
      </w:pPr>
      <w:r>
        <w:rPr/>
        <w:t xml:space="preserve"> </w:t>
        <w:br/>
        <w:br w:type="page"/>
      </w:r>
    </w:p>
    <w:p>
      <w:pPr>
        <w:pStyle w:val="null3"/>
        <w:jc w:val="center"/>
        <w:outlineLvl w:val="1"/>
      </w:pPr>
      <w:r>
        <w:rPr>
          <w:sz w:val="36"/>
          <w:b/>
        </w:rPr>
        <w:t>第三章 投标人须知</w:t>
      </w:r>
    </w:p>
    <w:p>
      <w:pPr>
        <w:pStyle w:val="null3"/>
        <w:ind w:firstLine="480"/>
        <w:jc w:val="both"/>
        <w:outlineLvl w:val="2"/>
      </w:pPr>
      <w:r>
        <w:rPr>
          <w:sz w:val="28"/>
          <w:b/>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sz w:val="28"/>
          <w:b/>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sz w:val="28"/>
          <w:b/>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福州市公共资源交易服务中心</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福州市公共资源交易服务中心</w:t>
      </w:r>
      <w:r>
        <w:rPr/>
        <w:t xml:space="preserve"> 将在投标截止时间至少15个日历日前，在招标文件载明的指定媒体以更正公告的形式发布澄清或修改的内容。不足15个日历日的， </w:t>
      </w:r>
      <w:r>
        <w:rPr/>
        <w:t>福州市公共资源交易服务中心</w:t>
      </w:r>
      <w:r>
        <w:rPr/>
        <w:t xml:space="preserve"> 将顺延投标截止时间及开标时间， </w:t>
      </w:r>
      <w:r>
        <w:rPr/>
        <w:t>福州市公共资源交易服务中心</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福州市公共资源交易服务中心</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福州市公共资源交易服务中心</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福州市公共资源交易服务中心</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福州市公共资源交易服务中心</w:t>
      </w:r>
      <w:r>
        <w:rPr/>
        <w:t xml:space="preserve"> 可终止招标并发布终止公告。</w:t>
      </w:r>
    </w:p>
    <w:p>
      <w:pPr>
        <w:pStyle w:val="null3"/>
        <w:ind w:firstLine="480"/>
        <w:jc w:val="both"/>
      </w:pPr>
      <w:r>
        <w:rPr/>
        <w:t xml:space="preserve">8.2终止公告作为 </w:t>
      </w:r>
      <w:r>
        <w:rPr/>
        <w:t>福州市公共资源交易服务中心</w:t>
      </w:r>
      <w:r>
        <w:rPr/>
        <w:t xml:space="preserve"> 通知所有潜在投标人的书面形式。</w:t>
      </w:r>
    </w:p>
    <w:p>
      <w:pPr>
        <w:pStyle w:val="null3"/>
        <w:ind w:firstLine="480"/>
        <w:jc w:val="both"/>
        <w:outlineLvl w:val="2"/>
      </w:pPr>
      <w:r>
        <w:rPr>
          <w:sz w:val="28"/>
          <w:b/>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①开标（报价）一览表</w:t>
      </w:r>
    </w:p>
    <w:p>
      <w:pPr>
        <w:pStyle w:val="null3"/>
        <w:ind w:firstLine="480"/>
        <w:jc w:val="both"/>
      </w:pPr>
      <w:r>
        <w:rPr/>
        <w:t>②投标（响应）报价明细表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福州市公共资源交易服务中心</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福州市公共资源交易服务中心</w:t>
      </w:r>
      <w:r>
        <w:rPr/>
        <w:t xml:space="preserve"> 可于投标有效期届满之前书面要求投标人延长投标有效期，投标人应在 </w:t>
      </w:r>
      <w:r>
        <w:rPr/>
        <w:t>福州市公共资源交易服务中心</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福州市公共资源交易服务中心</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福州市公共资源交易服务中心</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福州市公共资源交易服务中心</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sz w:val="28"/>
          <w:b/>
        </w:rPr>
        <w:t>五、开标</w:t>
      </w:r>
    </w:p>
    <w:p>
      <w:pPr>
        <w:pStyle w:val="null3"/>
        <w:ind w:firstLine="480"/>
        <w:jc w:val="both"/>
      </w:pPr>
      <w:r>
        <w:rPr/>
        <w:t>11、开标</w:t>
      </w:r>
    </w:p>
    <w:p>
      <w:pPr>
        <w:pStyle w:val="null3"/>
        <w:ind w:firstLine="480"/>
        <w:jc w:val="both"/>
      </w:pPr>
      <w:r>
        <w:rPr/>
        <w:t xml:space="preserve">11.1 </w:t>
      </w:r>
      <w:r>
        <w:rPr/>
        <w:t>福州市公共资源交易服务中心</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福州市公共资源交易服务中心</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报价）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福州市公共资源交易服务中心</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福州市公共资源交易服务中心</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sz w:val="28"/>
          <w:b/>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福州市公共资源交易服务中心</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福州市公共资源交易服务中心</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sz w:val="28"/>
          <w:b/>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福州市公共资源交易服务中心</w:t>
      </w:r>
      <w:r>
        <w:rPr/>
        <w:t xml:space="preserve"> 提出询问， </w:t>
      </w:r>
      <w:r>
        <w:rPr/>
        <w:t>福州市公共资源交易服务中心</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福州市公共资源交易服务中心</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sz w:val="28"/>
          <w:b/>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sz w:val="28"/>
          <w:b/>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sz w:val="28"/>
          <w:b/>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sz w:val="36"/>
          <w:b/>
        </w:rPr>
        <w:t>第四章 资格审查与评标</w:t>
      </w:r>
    </w:p>
    <w:p>
      <w:pPr>
        <w:pStyle w:val="null3"/>
        <w:jc w:val="both"/>
        <w:outlineLvl w:val="2"/>
      </w:pPr>
      <w:r>
        <w:rPr>
          <w:sz w:val="28"/>
          <w:b/>
        </w:rPr>
        <w:t>一、资格审查</w:t>
      </w:r>
    </w:p>
    <w:p>
      <w:pPr>
        <w:pStyle w:val="null3"/>
        <w:ind w:firstLine="480"/>
        <w:jc w:val="both"/>
      </w:pPr>
      <w:r>
        <w:rPr/>
        <w:t xml:space="preserve">1、开标结束后，由 </w:t>
      </w:r>
      <w:r>
        <w:rPr/>
        <w:t>福州市公共资源交易服务中心</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由福州市公共资源交易服务中心派出的工作人员至少1人，</w:t>
      </w:r>
      <w:r>
        <w:rPr/>
        <w:t>其余1人可为采购人代表或福州市公共资源交易服务中心的工作人员。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both"/>
      </w:pPr>
      <w:r>
        <w:rPr/>
        <w:t>②.其他资格证明文件：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资格承诺函（若有）</w:t>
            </w:r>
          </w:p>
        </w:tc>
        <w:tc>
          <w:tcPr>
            <w:tcW w:type="dxa" w:w="4614"/>
          </w:tcPr>
          <w:p>
            <w:pPr>
              <w:pStyle w:val="null3"/>
              <w:jc w:val="left"/>
            </w:pPr>
            <w:r>
              <w:rPr/>
              <w:t>根据《福州市财政局关于进一步推进政府采购领域优化营 商环境工作的通知》（榕财采〔2021〕52号），2022年1月1日起，预算金额在500万元以内的政府采购项目推行供应商资格证明材料承诺制。供应商在投标（响应）时，可自行选择是否按该通知规定提供资格承诺函，若按规定提供资格承诺函的，无需再提交财务状况、缴纳税收和社保资金缴纳等证明材料。注：采购人有权在签订合同前要求成交人提供相关证明材料以核实成交人承诺事项的真实性。响应人应当遵循诚实守信的原则，不得作出虚假承诺，承诺不实的，属于提供虚假材料谋取中标、成交，依法追究相关的法律责任。</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资格审查不合格项：无</w:t>
      </w:r>
    </w:p>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福州市公共资源交易服务中心</w:t>
      </w:r>
      <w:r>
        <w:rPr/>
        <w:t xml:space="preserve"> 统一对外发布。</w:t>
      </w:r>
    </w:p>
    <w:p>
      <w:pPr>
        <w:pStyle w:val="null3"/>
        <w:ind w:firstLine="480"/>
        <w:jc w:val="both"/>
      </w:pPr>
      <w:r>
        <w:rPr/>
        <w:t xml:space="preserve">3、资格审查合格的投标人不足三家的，不进行评标。同时，本次采购活动结束， </w:t>
      </w:r>
      <w:r>
        <w:rPr/>
        <w:t>福州市公共资源交易服务中心</w:t>
      </w:r>
      <w:r>
        <w:rPr/>
        <w:t xml:space="preserve"> 将依法组织后续采购活动（包括但不限于：重新招标、采用其他方式采购等）。</w:t>
      </w:r>
    </w:p>
    <w:p>
      <w:pPr>
        <w:pStyle w:val="null3"/>
        <w:jc w:val="both"/>
        <w:outlineLvl w:val="2"/>
      </w:pPr>
      <w:r>
        <w:rPr>
          <w:sz w:val="28"/>
          <w:b/>
        </w:rPr>
        <w:t>二、评标</w:t>
      </w:r>
    </w:p>
    <w:p>
      <w:pPr>
        <w:pStyle w:val="null3"/>
        <w:ind w:firstLine="480"/>
        <w:jc w:val="both"/>
      </w:pPr>
      <w:r>
        <w:rPr/>
        <w:t xml:space="preserve">4、资格审查结束后，由 </w:t>
      </w:r>
      <w:r>
        <w:rPr/>
        <w:t>福州市公共资源交易服务中心</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福州市公共资源交易服务中心</w:t>
      </w:r>
      <w:r>
        <w:rPr/>
        <w:t xml:space="preserve"> 统一对外发布。</w:t>
      </w:r>
    </w:p>
    <w:p>
      <w:pPr>
        <w:pStyle w:val="null3"/>
        <w:ind w:firstLine="480"/>
        <w:jc w:val="both"/>
      </w:pPr>
      <w:r>
        <w:rPr/>
        <w:t xml:space="preserve">②对 </w:t>
      </w:r>
      <w:r>
        <w:rPr/>
        <w:t>福州市公共资源交易服务中心</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投标人未按照招标文件要求制作投标文件的视为未实质性响应招标文件要求，其投标无效。</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情形</w:t>
            </w:r>
          </w:p>
        </w:tc>
        <w:tc>
          <w:tcPr>
            <w:tcW w:type="dxa" w:w="4614"/>
          </w:tcPr>
          <w:p>
            <w:pPr>
              <w:pStyle w:val="null3"/>
              <w:jc w:val="left"/>
            </w:pPr>
            <w:r>
              <w:rPr/>
              <w:t xml:space="preserve"> 明细</w:t>
            </w:r>
          </w:p>
        </w:tc>
      </w:tr>
      <w:tr>
        <w:tc>
          <w:tcPr>
            <w:tcW w:type="dxa" w:w="3692"/>
          </w:tcPr>
          <w:p>
            <w:pPr>
              <w:pStyle w:val="null3"/>
              <w:jc w:val="left"/>
            </w:pPr>
            <w:r>
              <w:rPr/>
              <w:t>技术符合性</w:t>
            </w:r>
          </w:p>
        </w:tc>
        <w:tc>
          <w:tcPr>
            <w:tcW w:type="dxa" w:w="4614"/>
          </w:tcPr>
          <w:p>
            <w:pPr>
              <w:pStyle w:val="null3"/>
              <w:jc w:val="left"/>
            </w:pPr>
            <w:r>
              <w:rPr/>
              <w:t>（1）最低评标价法时按以下规则执行：本文件的招标内容及要求中“二、技术和服务要求”，其全部条款内容均为“以“★”标示的内容”，即“均为不允许负偏离的实质性要求”，不符合则投标无效。（2）综合评分法时按以下规则执行：本文件的招标内容及要求中“二、技术和服务要求”，其条款内容中以“★”标示的内容或以文字指明不可负偏离的内容，即为不允许负偏离的实质性要求，不符合则投标无效。</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情形</w:t>
            </w:r>
          </w:p>
        </w:tc>
        <w:tc>
          <w:tcPr>
            <w:tcW w:type="dxa" w:w="4614"/>
          </w:tcPr>
          <w:p>
            <w:pPr>
              <w:pStyle w:val="null3"/>
              <w:jc w:val="left"/>
            </w:pPr>
            <w:r>
              <w:rPr/>
              <w:t xml:space="preserve"> 明细</w:t>
            </w:r>
          </w:p>
        </w:tc>
      </w:tr>
      <w:tr>
        <w:tc>
          <w:tcPr>
            <w:tcW w:type="dxa" w:w="3692"/>
          </w:tcPr>
          <w:p>
            <w:pPr>
              <w:pStyle w:val="null3"/>
              <w:jc w:val="left"/>
            </w:pPr>
            <w:r>
              <w:rPr/>
              <w:t>商务符合性</w:t>
            </w:r>
          </w:p>
        </w:tc>
        <w:tc>
          <w:tcPr>
            <w:tcW w:type="dxa" w:w="4614"/>
          </w:tcPr>
          <w:p>
            <w:pPr>
              <w:pStyle w:val="null3"/>
              <w:jc w:val="left"/>
            </w:pPr>
            <w:r>
              <w:rPr/>
              <w:t>（1）最低评标价法时按以下规则执行：本文件招标内容及要求中"三、商务条件”，其全部条款内容均为“以“★”标示的内容”，即“均为不允许负偏离的实质性要求” ，不符合则投标无效。（2）综合评分法时按以下规则执行：本文件招标内容及要求中"三、商务条件”，以“★”标示的内容或以文字指明不可负偏离的内容，即为不允许负偏离的实质性要求，不符合则投标无效。</w:t>
            </w:r>
          </w:p>
        </w:tc>
      </w:tr>
    </w:tbl>
    <w:p>
      <w:pPr>
        <w:pStyle w:val="null3"/>
        <w:jc w:val="left"/>
      </w:pPr>
      <w:r>
        <w:rPr/>
        <w:t>价格符合性：无</w:t>
      </w:r>
    </w:p>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①开标（报价）一览表内容与电子投标文件中相应内容不一致的，以开标（报价）一览表为准；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③单价金额小数点或百分比有明显错位的，以开标（报价）一览表的总价为准，并修改单价；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福州市公共资源交易服务中心</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采购包1：最低评标价法</w:t>
      </w:r>
    </w:p>
    <w:p>
      <w:pPr>
        <w:pStyle w:val="null3"/>
        <w:ind w:firstLine="480"/>
        <w:jc w:val="both"/>
      </w:pPr>
      <w:r>
        <w:rPr/>
        <w:t>7.2评标标准</w:t>
      </w:r>
    </w:p>
    <w:p>
      <w:pPr>
        <w:pStyle w:val="null3"/>
        <w:ind w:firstLine="480"/>
        <w:jc w:val="both"/>
      </w:pPr>
      <w:r>
        <w:rPr/>
        <w:t>采购包1：最低评标价法</w:t>
      </w:r>
    </w:p>
    <w:p>
      <w:pPr>
        <w:pStyle w:val="null3"/>
        <w:jc w:val="both"/>
      </w:pPr>
      <w:r>
        <w:rPr/>
        <w:t>投标文件满足招标文件全部实质性要求，且投标报价最低的投标人为中标候选人。</w:t>
      </w:r>
    </w:p>
    <w:p>
      <w:pPr>
        <w:pStyle w:val="null3"/>
        <w:jc w:val="both"/>
      </w:pPr>
      <w:r>
        <w:rPr/>
        <w:t>价格扣除的规则如下：</w:t>
      </w:r>
    </w:p>
    <w:p>
      <w:pPr>
        <w:pStyle w:val="null3"/>
        <w:jc w:val="both"/>
      </w:pPr>
      <w:r>
        <w:rPr/>
        <w:t>小型、微型企业产品</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both"/>
            </w:pPr>
            <w:r>
              <w:rPr/>
              <w:t xml:space="preserve"> 项目</w:t>
            </w:r>
          </w:p>
        </w:tc>
        <w:tc>
          <w:tcPr>
            <w:tcW w:type="dxa" w:w="1661"/>
          </w:tcPr>
          <w:p>
            <w:pPr>
              <w:pStyle w:val="null3"/>
              <w:jc w:val="both"/>
            </w:pPr>
            <w:r>
              <w:rPr/>
              <w:t xml:space="preserve"> 适用对象</w:t>
            </w:r>
          </w:p>
        </w:tc>
        <w:tc>
          <w:tcPr>
            <w:tcW w:type="dxa" w:w="831"/>
          </w:tcPr>
          <w:p>
            <w:pPr>
              <w:pStyle w:val="null3"/>
              <w:jc w:val="both"/>
            </w:pPr>
            <w:r>
              <w:rPr/>
              <w:t xml:space="preserve"> 比例</w:t>
            </w:r>
          </w:p>
        </w:tc>
        <w:tc>
          <w:tcPr>
            <w:tcW w:type="dxa" w:w="4153"/>
          </w:tcPr>
          <w:p>
            <w:pPr>
              <w:pStyle w:val="null3"/>
              <w:jc w:val="both"/>
            </w:pPr>
            <w:r>
              <w:rPr/>
              <w:t xml:space="preserve"> 描述</w:t>
            </w:r>
          </w:p>
        </w:tc>
      </w:tr>
      <w:tr>
        <w:tc>
          <w:tcPr>
            <w:tcW w:type="dxa" w:w="1661"/>
          </w:tcPr>
          <w:p>
            <w:pPr>
              <w:pStyle w:val="null3"/>
              <w:jc w:val="both"/>
            </w:pPr>
            <w:r>
              <w:rPr/>
              <w:t>小型、微型企业，监狱企业，残疾人福利性单位</w:t>
            </w:r>
          </w:p>
        </w:tc>
        <w:tc>
          <w:tcPr>
            <w:tcW w:type="dxa" w:w="1661"/>
          </w:tcPr>
          <w:p>
            <w:pPr>
              <w:pStyle w:val="null3"/>
              <w:jc w:val="both"/>
            </w:pPr>
            <w:r>
              <w:rPr/>
              <w:t>投标人或者联合体均为小型、微型企业</w:t>
            </w:r>
          </w:p>
        </w:tc>
        <w:tc>
          <w:tcPr>
            <w:tcW w:type="dxa" w:w="831"/>
          </w:tcPr>
          <w:p>
            <w:pPr>
              <w:pStyle w:val="null3"/>
              <w:jc w:val="right"/>
            </w:pPr>
            <w:r>
              <w:rPr/>
              <w:t>20.0000%</w:t>
            </w:r>
          </w:p>
        </w:tc>
        <w:tc>
          <w:tcPr>
            <w:tcW w:type="dxa" w:w="4153"/>
          </w:tcPr>
          <w:p>
            <w:pPr>
              <w:pStyle w:val="null3"/>
              <w:jc w:val="both"/>
            </w:pPr>
            <w:r>
              <w:rPr/>
              <w:t>本项目为非专门面向中小企业采购项目。 1、根据《政府采购促进中小企业发展管理办法》（财库〔2020〕46号），本项目将对符合该办法规定的小微企业的报价给予20%的扣除，用扣除后的价格参加评审。参加政府采购活动的小型、微型企业应当按要求提供符合规定的《中小企业声明函》，无须提供其他证明材料。 2、联合协议或分包意向协议约定小微企业的合同份额占到合同总金额 30%以上的，对联合体或者大中型企业的报价给予6%的扣除。 3、根据《关于政府采购支持监狱企业发展有关问题的通知》（财库〔2014〕68号）文件规定，符合规定的监狱和戒毒企业(以下简称监狱企业)参加政府采购活动视同小型、微型企业，应当提供由省级以上监狱管理局、戒毒管理局（含新疆生产建设兵团）出具的属于监狱企业的证明文件。 4、根据《关于促进残疾人就业政府采购政策的通知》（财库〔2017〕141号）文件规定，符合规定的残疾人福利性单位参加政府采购活动视同小型、微型企业，应当提供通知规定的《残疾人福利性单位声明函》并对声明的真实性负责。但残疾人福利性单位属于小型、微型企业的，不重复享受该评审优惠。5、本项目为货物类采购项目，采购标的对应的中小企业划分标准所属行业详见采购标的一览表。</w:t>
            </w:r>
          </w:p>
        </w:tc>
      </w:tr>
    </w:tbl>
    <w:p>
      <w:pPr>
        <w:pStyle w:val="null3"/>
        <w:jc w:val="both"/>
      </w:pPr>
      <w:r>
        <w:rPr/>
        <w:t>优先类节能产品、环境标志产品的价格扣除规则如下</w:t>
      </w:r>
    </w:p>
    <w:tbl>
      <w:tblPr>
        <w:tblW w:w="0" w:type="auto"/>
        <w:tblBorders>
          <w:top w:val="single"/>
          <w:left w:val="single"/>
          <w:bottom w:val="single"/>
          <w:right w:val="single"/>
          <w:insideH w:val="single"/>
          <w:insideV w:val="single"/>
        </w:tblBorders>
      </w:tblPr>
      <w:tblGrid>
        <w:gridCol w:w="2076"/>
        <w:gridCol w:w="1038"/>
        <w:gridCol w:w="5191"/>
      </w:tblGrid>
      <w:tr>
        <w:tc>
          <w:tcPr>
            <w:tcW w:type="dxa" w:w="2076"/>
          </w:tcPr>
          <w:p>
            <w:pPr>
              <w:pStyle w:val="null3"/>
              <w:jc w:val="both"/>
            </w:pPr>
            <w:r>
              <w:rPr/>
              <w:t xml:space="preserve"> 项目</w:t>
            </w:r>
          </w:p>
        </w:tc>
        <w:tc>
          <w:tcPr>
            <w:tcW w:type="dxa" w:w="1038"/>
          </w:tcPr>
          <w:p>
            <w:pPr>
              <w:pStyle w:val="null3"/>
              <w:jc w:val="both"/>
            </w:pPr>
            <w:r>
              <w:rPr/>
              <w:t xml:space="preserve"> 比例</w:t>
            </w:r>
          </w:p>
        </w:tc>
        <w:tc>
          <w:tcPr>
            <w:tcW w:type="dxa" w:w="5191"/>
          </w:tcPr>
          <w:p>
            <w:pPr>
              <w:pStyle w:val="null3"/>
              <w:jc w:val="both"/>
            </w:pPr>
            <w:r>
              <w:rPr/>
              <w:t xml:space="preserve"> 方法</w:t>
            </w:r>
          </w:p>
        </w:tc>
      </w:tr>
      <w:tr>
        <w:tc>
          <w:tcPr>
            <w:tcW w:type="dxa" w:w="2076"/>
          </w:tcPr>
          <w:p>
            <w:pPr>
              <w:pStyle w:val="null3"/>
              <w:jc w:val="both"/>
            </w:pPr>
            <w:r>
              <w:rPr/>
              <w:t>节能、环境标志产品</w:t>
            </w:r>
          </w:p>
        </w:tc>
        <w:tc>
          <w:tcPr>
            <w:tcW w:type="dxa" w:w="1038"/>
          </w:tcPr>
          <w:p>
            <w:pPr>
              <w:pStyle w:val="null3"/>
              <w:jc w:val="right"/>
            </w:pPr>
            <w:r>
              <w:rPr/>
              <w:t>20.0000%</w:t>
            </w:r>
          </w:p>
        </w:tc>
        <w:tc>
          <w:tcPr>
            <w:tcW w:type="dxa" w:w="5191"/>
          </w:tcPr>
          <w:p>
            <w:pPr>
              <w:pStyle w:val="null3"/>
              <w:jc w:val="both"/>
            </w:pPr>
            <w:r>
              <w:rPr/>
              <w:t>1、同一采购包内，对节能产品、环境标志产品政府采购品目清单范围内，实施优先采购的产品，给予产品价格报价20%的扣除，用扣除后的价格参加评审。采购标的同时包含其它非优先采购产品的，应当在采购文件中要求供应商对优先采购产品和非优先采购产品进行分项报价，非优先采购产品的报价不得享受给予节能产品、环境标志产品的价格扣除优惠。2、同一优先采购产品中各认证证书不重复计算价格扣除。强制类节能产品不进行价格扣除。</w:t>
            </w:r>
          </w:p>
        </w:tc>
      </w:tr>
    </w:tbl>
    <w:p>
      <w:pPr>
        <w:pStyle w:val="null3"/>
        <w:jc w:val="both"/>
      </w:pPr>
      <w:r>
        <w:rPr/>
        <w:t>其他：无</w:t>
      </w:r>
    </w:p>
    <w:p>
      <w:pPr>
        <w:pStyle w:val="null3"/>
        <w:jc w:val="both"/>
      </w:pPr>
      <w:r>
        <w:rPr/>
        <w:t>※除本章第6.3条第（3）款规定情形和落实政府采购政策需进行的价格扣除情形外，不能对投标人的投标报价进行任何调整。</w:t>
      </w:r>
    </w:p>
    <w:p>
      <w:pPr>
        <w:pStyle w:val="null3"/>
        <w:jc w:val="both"/>
      </w:pPr>
      <w:r>
        <w:rPr/>
        <w:t>（3）中标候选人排列规则顺序如下：</w:t>
      </w:r>
    </w:p>
    <w:p>
      <w:pPr>
        <w:pStyle w:val="null3"/>
        <w:jc w:val="both"/>
      </w:pPr>
      <w:r>
        <w:rPr/>
        <w:t>a.按照评标价（即价格扣除后的投标报价）由低到高顺序排列。</w:t>
      </w:r>
    </w:p>
    <w:p>
      <w:pPr>
        <w:pStyle w:val="null3"/>
        <w:jc w:val="both"/>
      </w:pPr>
      <w:r>
        <w:rPr/>
        <w:t>b.评标价相同的并列。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无</w:t>
      </w:r>
    </w:p>
    <w:p>
      <w:pPr>
        <w:pStyle w:val="null3"/>
      </w:pPr>
      <w:r>
        <w:rPr/>
        <w:t xml:space="preserve"> </w:t>
        <w:br/>
        <w:br w:type="page"/>
      </w:r>
    </w:p>
    <w:p>
      <w:pPr>
        <w:pStyle w:val="null3"/>
        <w:jc w:val="center"/>
        <w:outlineLvl w:val="1"/>
      </w:pPr>
      <w:r>
        <w:rPr>
          <w:sz w:val="36"/>
          <w:b/>
        </w:rPr>
        <w:t>第五章 招标内容及要求</w:t>
      </w:r>
    </w:p>
    <w:p>
      <w:pPr>
        <w:pStyle w:val="null3"/>
        <w:jc w:val="both"/>
        <w:outlineLvl w:val="2"/>
      </w:pPr>
      <w:r>
        <w:rPr>
          <w:sz w:val="28"/>
          <w:b/>
        </w:rPr>
        <w:t>一、项目概况（采购标的）</w:t>
      </w:r>
    </w:p>
    <w:p>
      <w:pPr>
        <w:pStyle w:val="null3"/>
        <w:ind w:firstLine="480"/>
        <w:jc w:val="both"/>
      </w:pPr>
      <w:r>
        <w:rPr>
          <w:rFonts w:ascii="宋体" w:hAnsi="宋体" w:cs="宋体" w:eastAsia="宋体"/>
          <w:sz w:val="24"/>
        </w:rPr>
        <w:t>本项目为福州市皮肤病防治院南院台式计算机、台式一体机、扫码显示屏采购。根据医院业务应用运行需求，需要采购一批性能先进的台式计算机、台式一体机、扫码显示屏，以满足医院信息化的发展。</w:t>
      </w:r>
    </w:p>
    <w:tbl>
      <w:tblPr>
        <w:tblW w:w="0" w:type="auto"/>
        <w:tblBorders>
          <w:top w:val="none" w:color="000000" w:sz="4"/>
          <w:left w:val="none" w:color="000000" w:sz="4"/>
          <w:bottom w:val="none" w:color="000000" w:sz="4"/>
          <w:right w:val="none" w:color="000000" w:sz="4"/>
          <w:insideH w:val="none"/>
          <w:insideV w:val="none"/>
        </w:tblBorders>
      </w:tblPr>
      <w:tblGrid>
        <w:gridCol w:w="1050"/>
        <w:gridCol w:w="3465"/>
        <w:gridCol w:w="3465"/>
      </w:tblGrid>
      <w:tr>
        <w:tc>
          <w:tcPr>
            <w:tcW w:type="dxa" w:w="1050"/>
            <w:tcBorders>
              <w:top w:val="single" w:color="000000" w:sz="4"/>
              <w:left w:val="single" w:color="000000" w:sz="4"/>
              <w:bottom w:val="single" w:color="000000" w:sz="4"/>
              <w:right w:val="single" w:color="000000" w:sz="4"/>
            </w:tcBorders>
            <w:shd w:fill="FEFEFE"/>
            <w:tcMar>
              <w:top w:type="dxa" w:w="0"/>
              <w:left w:type="dxa" w:w="105"/>
              <w:bottom w:type="dxa" w:w="0"/>
              <w:right w:type="dxa" w:w="105"/>
            </w:tcMar>
            <w:vAlign w:val="top"/>
          </w:tcPr>
          <w:p>
            <w:pPr>
              <w:pStyle w:val="null3"/>
              <w:ind w:firstLine="380"/>
              <w:jc w:val="center"/>
            </w:pPr>
            <w:r>
              <w:rPr>
                <w:rFonts w:ascii="宋体" w:hAnsi="宋体" w:cs="宋体" w:eastAsia="宋体"/>
                <w:sz w:val="21"/>
                <w:b/>
              </w:rPr>
              <w:t>品目号</w:t>
            </w:r>
          </w:p>
        </w:tc>
        <w:tc>
          <w:tcPr>
            <w:tcW w:type="dxa" w:w="346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宋体" w:hAnsi="宋体" w:cs="宋体" w:eastAsia="宋体"/>
                <w:sz w:val="21"/>
                <w:b/>
              </w:rPr>
              <w:t>产品名称</w:t>
            </w:r>
          </w:p>
        </w:tc>
        <w:tc>
          <w:tcPr>
            <w:tcW w:type="dxa" w:w="346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宋体" w:hAnsi="宋体" w:cs="宋体" w:eastAsia="宋体"/>
                <w:sz w:val="21"/>
                <w:b/>
              </w:rPr>
              <w:t>备注</w:t>
            </w:r>
          </w:p>
          <w:p>
            <w:pPr>
              <w:pStyle w:val="null3"/>
              <w:ind w:firstLine="380"/>
              <w:jc w:val="center"/>
            </w:pPr>
          </w:p>
        </w:tc>
      </w:tr>
      <w:tr>
        <w:tc>
          <w:tcPr>
            <w:tcW w:type="dxa" w:w="1050"/>
            <w:tcBorders>
              <w:top w:val="none" w:color="000000" w:sz="4"/>
              <w:left w:val="single" w:color="000000" w:sz="4"/>
              <w:bottom w:val="single" w:color="000000" w:sz="4"/>
              <w:right w:val="single" w:color="000000" w:sz="4"/>
            </w:tcBorders>
            <w:shd w:fill="FEFEFE"/>
            <w:tcMar>
              <w:top w:type="dxa" w:w="0"/>
              <w:left w:type="dxa" w:w="105"/>
              <w:bottom w:type="dxa" w:w="0"/>
              <w:right w:type="dxa" w:w="105"/>
            </w:tcMar>
            <w:vAlign w:val="top"/>
          </w:tcPr>
          <w:p>
            <w:pPr>
              <w:pStyle w:val="null3"/>
              <w:jc w:val="center"/>
            </w:pPr>
            <w:r>
              <w:rPr>
                <w:rFonts w:ascii="宋体" w:hAnsi="宋体" w:cs="宋体" w:eastAsia="宋体"/>
                <w:sz w:val="24"/>
                <w:color w:val="000000"/>
              </w:rPr>
              <w:t>1-1</w:t>
            </w:r>
          </w:p>
        </w:tc>
        <w:tc>
          <w:tcPr>
            <w:tcW w:type="dxa" w:w="3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宋体" w:hAnsi="宋体" w:cs="宋体" w:eastAsia="宋体"/>
                <w:sz w:val="24"/>
              </w:rPr>
              <w:t>台式计算机</w:t>
            </w:r>
          </w:p>
        </w:tc>
        <w:tc>
          <w:tcPr>
            <w:tcW w:type="dxa" w:w="3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宋体" w:hAnsi="宋体" w:cs="宋体" w:eastAsia="宋体"/>
                <w:sz w:val="24"/>
                <w:color w:val="000000"/>
              </w:rPr>
              <w:t>核心产品，不允许负偏离</w:t>
            </w:r>
          </w:p>
        </w:tc>
      </w:tr>
      <w:tr>
        <w:tc>
          <w:tcPr>
            <w:tcW w:type="dxa" w:w="1050"/>
            <w:tcBorders>
              <w:top w:val="none" w:color="000000" w:sz="4"/>
              <w:left w:val="single" w:color="000000" w:sz="4"/>
              <w:bottom w:val="single" w:color="000000" w:sz="4"/>
              <w:right w:val="single" w:color="000000" w:sz="4"/>
            </w:tcBorders>
            <w:shd w:fill="FEFEFE"/>
            <w:tcMar>
              <w:top w:type="dxa" w:w="0"/>
              <w:left w:type="dxa" w:w="105"/>
              <w:bottom w:type="dxa" w:w="0"/>
              <w:right w:type="dxa" w:w="105"/>
            </w:tcMar>
            <w:vAlign w:val="top"/>
          </w:tcPr>
          <w:p>
            <w:pPr>
              <w:pStyle w:val="null3"/>
              <w:ind w:firstLine="380"/>
              <w:jc w:val="center"/>
            </w:pPr>
            <w:r>
              <w:rPr>
                <w:rFonts w:ascii="宋体" w:hAnsi="宋体" w:cs="宋体" w:eastAsia="宋体"/>
                <w:sz w:val="24"/>
                <w:color w:val="000000"/>
              </w:rPr>
              <w:t>1-2</w:t>
            </w:r>
          </w:p>
        </w:tc>
        <w:tc>
          <w:tcPr>
            <w:tcW w:type="dxa" w:w="3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4"/>
              </w:rPr>
              <w:t>台式一体机</w:t>
            </w:r>
          </w:p>
        </w:tc>
        <w:tc>
          <w:tcPr>
            <w:tcW w:type="dxa" w:w="34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宋体" w:hAnsi="宋体" w:cs="宋体" w:eastAsia="宋体"/>
                <w:sz w:val="24"/>
                <w:color w:val="000000"/>
              </w:rPr>
              <w:t>不允许负偏离</w:t>
            </w:r>
          </w:p>
        </w:tc>
      </w:tr>
      <w:tr>
        <w:tc>
          <w:tcPr>
            <w:tcW w:type="dxa" w:w="1050"/>
            <w:tcBorders>
              <w:top w:val="none" w:color="000000" w:sz="4"/>
              <w:left w:val="single" w:color="000000" w:sz="4"/>
              <w:bottom w:val="single" w:color="000000" w:sz="4"/>
              <w:right w:val="single" w:color="000000" w:sz="4"/>
            </w:tcBorders>
            <w:shd w:fill="FEFEFE"/>
            <w:tcMar>
              <w:top w:type="dxa" w:w="0"/>
              <w:left w:type="dxa" w:w="105"/>
              <w:bottom w:type="dxa" w:w="0"/>
              <w:right w:type="dxa" w:w="105"/>
            </w:tcMar>
            <w:vAlign w:val="top"/>
          </w:tcPr>
          <w:p>
            <w:pPr>
              <w:pStyle w:val="null3"/>
              <w:ind w:firstLine="380"/>
              <w:jc w:val="center"/>
            </w:pPr>
            <w:r>
              <w:rPr>
                <w:rFonts w:ascii="宋体" w:hAnsi="宋体" w:cs="宋体" w:eastAsia="宋体"/>
                <w:sz w:val="24"/>
                <w:color w:val="000000"/>
              </w:rPr>
              <w:t>1-3</w:t>
            </w:r>
          </w:p>
        </w:tc>
        <w:tc>
          <w:tcPr>
            <w:tcW w:type="dxa" w:w="3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宋体" w:hAnsi="宋体" w:cs="宋体" w:eastAsia="宋体"/>
                <w:sz w:val="24"/>
              </w:rPr>
              <w:t>扫码显示屏</w:t>
            </w:r>
          </w:p>
        </w:tc>
        <w:tc>
          <w:tcPr>
            <w:tcW w:type="dxa" w:w="3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80"/>
              <w:jc w:val="center"/>
            </w:pPr>
            <w:r>
              <w:rPr>
                <w:rFonts w:ascii="宋体" w:hAnsi="宋体" w:cs="宋体" w:eastAsia="宋体"/>
                <w:sz w:val="24"/>
                <w:color w:val="000000"/>
              </w:rPr>
              <w:t>不允许负偏离</w:t>
            </w:r>
          </w:p>
        </w:tc>
      </w:tr>
    </w:tbl>
    <w:p>
      <w:pPr>
        <w:pStyle w:val="null3"/>
        <w:jc w:val="both"/>
        <w:outlineLvl w:val="2"/>
      </w:pPr>
      <w:r>
        <w:rPr>
          <w:sz w:val="28"/>
          <w:b/>
        </w:rPr>
        <w:t>二、技术和服务要求（以“★”标示的内容为不允许负偏离的实质性要求）</w:t>
      </w:r>
    </w:p>
    <w:p>
      <w:pPr>
        <w:pStyle w:val="null3"/>
        <w:ind w:firstLine="480"/>
        <w:jc w:val="both"/>
      </w:pPr>
      <w:r>
        <w:rPr>
          <w:rFonts w:ascii="宋体" w:hAnsi="宋体" w:cs="宋体" w:eastAsia="宋体"/>
          <w:sz w:val="24"/>
          <w:b/>
          <w:color w:val="FF0000"/>
          <w:shd w:fill="FFFFFF" w:val="clear"/>
        </w:rPr>
        <w:t>本项目合同包</w:t>
      </w:r>
      <w:r>
        <w:rPr>
          <w:rFonts w:ascii="宋体" w:hAnsi="宋体" w:cs="宋体" w:eastAsia="宋体"/>
          <w:sz w:val="24"/>
          <w:b/>
          <w:color w:val="FF0000"/>
          <w:shd w:fill="FFFFFF" w:val="clear"/>
        </w:rPr>
        <w:t>1技术和服务要求全部条款内容均为“以“★”标示的内容”，即均为不允许负偏离的实质性要求。</w:t>
      </w:r>
    </w:p>
    <w:p>
      <w:pPr>
        <w:pStyle w:val="null3"/>
        <w:ind w:firstLine="480"/>
        <w:jc w:val="both"/>
      </w:pPr>
      <w:r>
        <w:rPr>
          <w:rFonts w:ascii="宋体" w:hAnsi="宋体" w:cs="宋体" w:eastAsia="宋体"/>
          <w:sz w:val="24"/>
          <w:b/>
        </w:rPr>
        <w:t>1-1台式计算机</w:t>
      </w:r>
    </w:p>
    <w:p>
      <w:pPr>
        <w:pStyle w:val="null3"/>
        <w:ind w:firstLine="480"/>
        <w:jc w:val="both"/>
      </w:pPr>
      <w:r>
        <w:rPr/>
        <w:t xml:space="preserve"> </w:t>
      </w:r>
    </w:p>
    <w:tbl>
      <w:tblPr>
        <w:tblW w:w="0" w:type="auto"/>
        <w:tblInd w:type="dxa" w:w="465"/>
        <w:tblBorders>
          <w:top w:val="none" w:color="000000" w:sz="4"/>
          <w:left w:val="none" w:color="000000" w:sz="4"/>
          <w:bottom w:val="none" w:color="000000" w:sz="4"/>
          <w:right w:val="none" w:color="000000" w:sz="4"/>
          <w:insideH w:val="none"/>
          <w:insideV w:val="none"/>
        </w:tblBorders>
      </w:tblPr>
      <w:tblGrid>
        <w:gridCol w:w="1245"/>
        <w:gridCol w:w="1290"/>
        <w:gridCol w:w="5715"/>
      </w:tblGrid>
      <w:tr>
        <w:tc>
          <w:tcPr>
            <w:tcW w:type="dxa" w:w="124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一级指标1</w:t>
            </w:r>
          </w:p>
        </w:tc>
        <w:tc>
          <w:tcPr>
            <w:tcW w:type="dxa" w:w="129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二级指标 1</w:t>
            </w:r>
          </w:p>
        </w:tc>
        <w:tc>
          <w:tcPr>
            <w:tcW w:type="dxa" w:w="571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rPr>
              <w:t>指标要求</w:t>
            </w:r>
          </w:p>
        </w:tc>
      </w:tr>
      <w:tr>
        <w:tc>
          <w:tcPr>
            <w:tcW w:type="dxa" w:w="12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*CPU</w:t>
            </w:r>
          </w:p>
          <w:p>
            <w:pPr>
              <w:pStyle w:val="null3"/>
              <w:jc w:val="both"/>
            </w:pPr>
            <w:r>
              <w:rPr>
                <w:rFonts w:ascii="宋体" w:hAnsi="宋体" w:cs="宋体" w:eastAsia="宋体"/>
                <w:sz w:val="24"/>
              </w:rPr>
              <w:t>规格</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*CPU 信息</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sz w:val="24"/>
              </w:rPr>
              <w:t>CPU型号:国产处理器</w:t>
            </w:r>
          </w:p>
          <w:p>
            <w:pPr>
              <w:pStyle w:val="null3"/>
              <w:jc w:val="left"/>
            </w:pPr>
            <w:r>
              <w:rPr>
                <w:rFonts w:ascii="宋体" w:hAnsi="宋体" w:cs="宋体" w:eastAsia="宋体"/>
                <w:sz w:val="24"/>
              </w:rPr>
              <w:t>物理核心数:≥8核</w:t>
            </w:r>
            <w:r>
              <w:br/>
            </w:r>
            <w:r>
              <w:rPr>
                <w:rFonts w:ascii="宋体" w:hAnsi="宋体" w:cs="宋体" w:eastAsia="宋体"/>
                <w:sz w:val="24"/>
              </w:rPr>
              <w:t>主频:≥3.0GHz</w:t>
            </w:r>
          </w:p>
          <w:p>
            <w:pPr>
              <w:pStyle w:val="null3"/>
              <w:jc w:val="left"/>
            </w:pPr>
            <w:r>
              <w:rPr>
                <w:rFonts w:ascii="宋体" w:hAnsi="宋体" w:cs="宋体" w:eastAsia="宋体"/>
                <w:sz w:val="24"/>
              </w:rPr>
              <w:t>末级缓存容量:≥16MB</w:t>
            </w:r>
          </w:p>
          <w:p>
            <w:pPr>
              <w:pStyle w:val="null3"/>
              <w:jc w:val="left"/>
            </w:pPr>
            <w:r>
              <w:rPr>
                <w:rFonts w:ascii="宋体" w:hAnsi="宋体" w:cs="宋体" w:eastAsia="宋体"/>
                <w:sz w:val="24"/>
              </w:rPr>
              <w:t>线程数:16≤线程≤64</w:t>
            </w:r>
          </w:p>
          <w:p>
            <w:pPr>
              <w:pStyle w:val="null3"/>
              <w:jc w:val="left"/>
            </w:pPr>
            <w:r>
              <w:rPr>
                <w:rFonts w:ascii="宋体" w:hAnsi="宋体" w:cs="宋体" w:eastAsia="宋体"/>
                <w:sz w:val="24"/>
              </w:rPr>
              <w:t>热设计功耗:≤65W</w:t>
            </w:r>
          </w:p>
          <w:p>
            <w:pPr>
              <w:pStyle w:val="null3"/>
              <w:jc w:val="left"/>
            </w:pPr>
            <w:r>
              <w:rPr>
                <w:rFonts w:ascii="宋体" w:hAnsi="宋体" w:cs="宋体" w:eastAsia="宋体"/>
                <w:sz w:val="24"/>
              </w:rPr>
              <w:t>内存的最高速率:3200MHz</w:t>
            </w:r>
          </w:p>
          <w:p>
            <w:pPr>
              <w:pStyle w:val="null3"/>
              <w:jc w:val="left"/>
            </w:pPr>
            <w:r>
              <w:rPr>
                <w:rFonts w:ascii="宋体" w:hAnsi="宋体" w:cs="宋体" w:eastAsia="宋体"/>
                <w:sz w:val="24"/>
              </w:rPr>
              <w:t>通道数:2</w:t>
            </w:r>
          </w:p>
          <w:p>
            <w:pPr>
              <w:pStyle w:val="null3"/>
              <w:jc w:val="left"/>
            </w:pPr>
            <w:r>
              <w:rPr>
                <w:rFonts w:ascii="宋体" w:hAnsi="宋体" w:cs="宋体" w:eastAsia="宋体"/>
                <w:sz w:val="24"/>
              </w:rPr>
              <w:t>位宽:64bit</w:t>
            </w:r>
          </w:p>
        </w:tc>
      </w:tr>
      <w:tr>
        <w:tc>
          <w:tcPr>
            <w:tcW w:type="dxa" w:w="124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*内存规格</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*内存配置容量</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≥16GB</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*内存类型</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支持DDR4</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*内存条配置数量（板载内存不涉及）</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w:t>
            </w:r>
          </w:p>
        </w:tc>
      </w:tr>
      <w:tr>
        <w:tc>
          <w:tcPr>
            <w:tcW w:type="dxa" w:w="124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*主板规格</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*主板集成模块</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集成声卡，网卡</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*主板支持的 CPU 和内存情况</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内存型号：DDR4</w:t>
            </w:r>
          </w:p>
          <w:p>
            <w:pPr>
              <w:pStyle w:val="null3"/>
              <w:jc w:val="both"/>
            </w:pPr>
            <w:r>
              <w:rPr>
                <w:rFonts w:ascii="宋体" w:hAnsi="宋体" w:cs="宋体" w:eastAsia="宋体"/>
                <w:sz w:val="24"/>
              </w:rPr>
              <w:t>数量:4</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主板内置PCIe 插槽数量</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配置≥2个PCIe x16, ≥1个PCIe x8, ≥1个PCIe x1</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特殊孔位及接口</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a)预留满足 USB3.0 数据传输规范的接口，工作电压 5V，最大过电流应≥3A；</w:t>
            </w:r>
          </w:p>
          <w:p>
            <w:pPr>
              <w:pStyle w:val="null3"/>
              <w:jc w:val="both"/>
            </w:pPr>
            <w:r>
              <w:rPr>
                <w:rFonts w:ascii="宋体" w:hAnsi="宋体" w:cs="宋体" w:eastAsia="宋体"/>
                <w:sz w:val="24"/>
              </w:rPr>
              <w:t>b) 预留多功能导入装置板卡安装孔位，采用内置方式与主机一体化集成，容量≥145mm×125mm×16.5mm（长×宽×高）</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*主板其他内置接口</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主板原生其他内置接口：配置USB总数≥11个，其中USB3.0接口≥9个，≥4个SATA 接口；</w:t>
            </w:r>
          </w:p>
          <w:p>
            <w:pPr>
              <w:pStyle w:val="null3"/>
              <w:jc w:val="both"/>
            </w:pP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*单内存插槽最大可支持容量（板载内存不涉及）</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≥32GB</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*内存插槽满配时提供的最高内存总容量</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≥128GB</w:t>
            </w:r>
          </w:p>
        </w:tc>
      </w:tr>
      <w:tr>
        <w:tc>
          <w:tcPr>
            <w:tcW w:type="dxa" w:w="124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*存储设备规格</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*固态盘数量</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 个</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*固态存储容量</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≥512GB</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*机械硬盘数量</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 个</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*机械硬盘总容量</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≥1000GB</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*机械硬盘转速</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≥7200rpm</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*机械硬盘形态</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2.5 英寸或 3.5 英寸</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*固态存储形态</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采用插卡或板载等形态，可选用符合M.2 或 2.5 寸 SATA 或mSATA 标准的插卡形态</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存储设备扩展盘位</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≥4</w:t>
            </w:r>
          </w:p>
        </w:tc>
      </w:tr>
      <w:tr>
        <w:tc>
          <w:tcPr>
            <w:tcW w:type="dxa" w:w="1245"/>
            <w:vMerge/>
            <w:tcBorders>
              <w:top w:val="none" w:color="000000" w:sz="4"/>
              <w:left w:val="single" w:color="000000" w:sz="4"/>
              <w:bottom w:val="single" w:color="000000" w:sz="4"/>
              <w:right w:val="single" w:color="000000" w:sz="4"/>
            </w:tcBorders>
          </w:tcPr>
          <w:p/>
        </w:tc>
        <w:tc>
          <w:tcPr>
            <w:tcW w:type="dxa" w:w="1290"/>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*存储设备其他参数要求</w:t>
            </w:r>
          </w:p>
        </w:tc>
        <w:tc>
          <w:tcPr>
            <w:tcW w:type="dxa" w:w="5715"/>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固态盘应符合 SJ/T 11654 相关规定；</w:t>
            </w:r>
          </w:p>
          <w:p>
            <w:pPr>
              <w:pStyle w:val="null3"/>
              <w:jc w:val="both"/>
            </w:pPr>
            <w:r>
              <w:rPr>
                <w:rFonts w:ascii="宋体" w:hAnsi="宋体" w:cs="宋体" w:eastAsia="宋体"/>
                <w:sz w:val="24"/>
              </w:rPr>
              <w:t>机械硬盘准备时间应≤30s；侧面固定螺丝孔数量可为 4 孔或 6 孔； 工作状态环境温度应满足 5℃~55℃；</w:t>
            </w:r>
          </w:p>
          <w:p>
            <w:pPr>
              <w:pStyle w:val="null3"/>
              <w:jc w:val="both"/>
            </w:pPr>
            <w:r>
              <w:rPr>
                <w:rFonts w:ascii="宋体" w:hAnsi="宋体" w:cs="宋体" w:eastAsia="宋体"/>
                <w:sz w:val="24"/>
              </w:rPr>
              <w:t>其它参数应符合GB/T 12628 相关规定</w:t>
            </w:r>
          </w:p>
        </w:tc>
      </w:tr>
      <w:tr>
        <w:tc>
          <w:tcPr>
            <w:tcW w:type="dxa" w:w="1245"/>
            <w:vMerge/>
            <w:tcBorders>
              <w:top w:val="none" w:color="000000" w:sz="4"/>
              <w:left w:val="single" w:color="000000" w:sz="4"/>
              <w:bottom w:val="single" w:color="000000" w:sz="4"/>
              <w:right w:val="single" w:color="000000" w:sz="4"/>
            </w:tcBorders>
          </w:tcPr>
          <w:p/>
        </w:tc>
        <w:tc>
          <w:tcPr>
            <w:tcW w:type="dxa" w:w="1290"/>
            <w:vMerge/>
            <w:tcBorders>
              <w:top w:val="none" w:color="000000" w:sz="4"/>
              <w:left w:val="none" w:color="000000" w:sz="4"/>
              <w:bottom w:val="single" w:color="000000" w:sz="4"/>
              <w:right w:val="single" w:color="000000" w:sz="4"/>
            </w:tcBorders>
          </w:tcPr>
          <w:p/>
        </w:tc>
        <w:tc>
          <w:tcPr>
            <w:tcW w:type="dxa" w:w="5715"/>
            <w:vMerge/>
            <w:tcBorders>
              <w:top w:val="none" w:color="000000" w:sz="4"/>
              <w:left w:val="none" w:color="000000" w:sz="4"/>
              <w:bottom w:val="single" w:color="000000" w:sz="4"/>
              <w:right w:val="single" w:color="000000" w:sz="4"/>
            </w:tcBorders>
          </w:tcPr>
          <w:p/>
        </w:tc>
      </w:tr>
      <w:tr>
        <w:tc>
          <w:tcPr>
            <w:tcW w:type="dxa" w:w="1245"/>
            <w:vMerge/>
            <w:tcBorders>
              <w:top w:val="none" w:color="000000" w:sz="4"/>
              <w:left w:val="single" w:color="000000" w:sz="4"/>
              <w:bottom w:val="single" w:color="000000" w:sz="4"/>
              <w:right w:val="single" w:color="000000" w:sz="4"/>
            </w:tcBorders>
          </w:tcPr>
          <w:p/>
        </w:tc>
        <w:tc>
          <w:tcPr>
            <w:tcW w:type="dxa" w:w="1290"/>
            <w:vMerge/>
            <w:tcBorders>
              <w:top w:val="none" w:color="000000" w:sz="4"/>
              <w:left w:val="none" w:color="000000" w:sz="4"/>
              <w:bottom w:val="single" w:color="000000" w:sz="4"/>
              <w:right w:val="single" w:color="000000" w:sz="4"/>
            </w:tcBorders>
          </w:tcPr>
          <w:p/>
        </w:tc>
        <w:tc>
          <w:tcPr>
            <w:tcW w:type="dxa" w:w="5715"/>
            <w:vMerge/>
            <w:tcBorders>
              <w:top w:val="none" w:color="000000" w:sz="4"/>
              <w:left w:val="none" w:color="000000" w:sz="4"/>
              <w:bottom w:val="single" w:color="000000" w:sz="4"/>
              <w:right w:val="single" w:color="000000" w:sz="4"/>
            </w:tcBorders>
          </w:tcPr>
          <w:p/>
        </w:tc>
      </w:tr>
      <w:tr>
        <w:tc>
          <w:tcPr>
            <w:tcW w:type="dxa" w:w="124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*显卡规格</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*显卡类型</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独立显卡</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*独立显卡显存类型</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配置独立显卡，显存类型应为DDR4</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*独立显卡显存位宽</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配置独立显卡，显存位宽≥64位</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*独立显卡显存容量</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配置独立显卡，显存容量≥2GB</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独立显卡接口协议</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支持PCIe 协议版本≥ 2.0 或HT（HyperTransport）协议版本≥3.0 的独立显卡接口协议</w:t>
            </w:r>
          </w:p>
        </w:tc>
      </w:tr>
      <w:tr>
        <w:tc>
          <w:tcPr>
            <w:tcW w:type="dxa" w:w="124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*显示设备规格</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*显示屏屏占比</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≥80%</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*显示屏分辨率</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≥1920x1080</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显示屏像素密度</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≥85 像素/英寸</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显示屏可视角度</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水平≥170°</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*显示屏尺寸</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≥23 英寸</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*显示屏屏幕比例</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16:9</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*显示器外观颜色</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黑色</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*显示屏防蓝光</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支持防蓝光模式，蓝光加权辐射亮度比应≤0.0012W/(·cd·sr)（瓦每坎特拉每球面度）</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*显示屏低频闪</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显示屏应支持低频闪≤-35dB</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*显示屏防炫目</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显示屏镜面反射率≤10%</w:t>
            </w:r>
          </w:p>
        </w:tc>
      </w:tr>
      <w:tr>
        <w:tc>
          <w:tcPr>
            <w:tcW w:type="dxa" w:w="124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*外设规格</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*鼠标数</w:t>
            </w:r>
          </w:p>
          <w:p>
            <w:pPr>
              <w:pStyle w:val="null3"/>
              <w:jc w:val="both"/>
            </w:pPr>
            <w:r>
              <w:rPr>
                <w:rFonts w:ascii="宋体" w:hAnsi="宋体" w:cs="宋体" w:eastAsia="宋体"/>
                <w:sz w:val="24"/>
              </w:rPr>
              <w:t>量</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 个</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*键盘数</w:t>
            </w:r>
          </w:p>
          <w:p>
            <w:pPr>
              <w:pStyle w:val="null3"/>
              <w:jc w:val="both"/>
            </w:pPr>
            <w:r>
              <w:rPr>
                <w:rFonts w:ascii="宋体" w:hAnsi="宋体" w:cs="宋体" w:eastAsia="宋体"/>
                <w:sz w:val="24"/>
              </w:rPr>
              <w:t>量</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 个</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*键盘按键数目</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104 键</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*键盘连接方式</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有线或无线</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*键盘键程</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2.3mm ~ 4.0mm</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*键盘按键压力</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按键压力应在 0.54 N±0.14N</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*有线键盘连接线</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≥1.5 米</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*键盘颜色</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黑色</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键盘其他要求</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键盘外观结构、连接方式、主要功能、安全、</w:t>
            </w:r>
          </w:p>
          <w:p>
            <w:pPr>
              <w:pStyle w:val="null3"/>
              <w:jc w:val="both"/>
            </w:pPr>
            <w:r>
              <w:rPr>
                <w:rFonts w:ascii="宋体" w:hAnsi="宋体" w:cs="宋体" w:eastAsia="宋体"/>
                <w:sz w:val="24"/>
              </w:rPr>
              <w:t>电磁兼容性、可靠性应符合 GB/T14081 的相关规定</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*鼠标连接方式</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有线或无线</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*有线鼠标连接线</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≥1.5 米</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*鼠标DPI 分辨率</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800~1600</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*鼠标颜色</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黑色</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*鼠标其他要求</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其它参数应符合 GB/T 26245 的相关规定</w:t>
            </w:r>
          </w:p>
        </w:tc>
      </w:tr>
      <w:tr>
        <w:tc>
          <w:tcPr>
            <w:tcW w:type="dxa" w:w="12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*网络设备规格</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*有线网卡数量</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w:t>
            </w:r>
          </w:p>
        </w:tc>
      </w:tr>
      <w:tr>
        <w:tc>
          <w:tcPr>
            <w:tcW w:type="dxa" w:w="12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*外部接口</w:t>
            </w:r>
          </w:p>
          <w:p>
            <w:pPr>
              <w:pStyle w:val="null3"/>
              <w:jc w:val="both"/>
            </w:pPr>
            <w:r>
              <w:rPr>
                <w:rFonts w:ascii="宋体" w:hAnsi="宋体" w:cs="宋体" w:eastAsia="宋体"/>
                <w:sz w:val="24"/>
              </w:rPr>
              <w:t>规格</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*USB接口数量</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机箱前面板应提供≥4个 USB 接口（含2个 USB3.0 及以上接口）</w:t>
            </w:r>
          </w:p>
        </w:tc>
      </w:tr>
      <w:tr>
        <w:tc>
          <w:tcPr>
            <w:tcW w:type="dxa" w:w="124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USB 母座接口要求</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机箱前面板额外预留 2 个专用 USB 母座接口孔位和 1 个通用 A 型 USB 母座接口孔位，采用横向排列中心间距应≥27mm</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*视频接口数量</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*音频接口数量</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w:t>
            </w:r>
          </w:p>
        </w:tc>
      </w:tr>
      <w:tr>
        <w:tc>
          <w:tcPr>
            <w:tcW w:type="dxa" w:w="124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*整机基础规格</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*整机外观</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产品表面不应有凹痕、划伤、裂缝、变形和污染等。表面涂层均匀，不应起泡、龟裂、脱落和磨损，金属零部件无锈蚀及其它机械损伤；</w:t>
            </w:r>
          </w:p>
          <w:p>
            <w:pPr>
              <w:pStyle w:val="null3"/>
              <w:jc w:val="both"/>
            </w:pPr>
            <w:r>
              <w:rPr>
                <w:rFonts w:ascii="宋体" w:hAnsi="宋体" w:cs="宋体" w:eastAsia="宋体"/>
                <w:sz w:val="24"/>
              </w:rPr>
              <w:t>产品表面说明功能的文字、符号、标志，应清</w:t>
            </w:r>
          </w:p>
          <w:p>
            <w:pPr>
              <w:pStyle w:val="null3"/>
              <w:jc w:val="both"/>
            </w:pPr>
            <w:r>
              <w:rPr>
                <w:rFonts w:ascii="宋体" w:hAnsi="宋体" w:cs="宋体" w:eastAsia="宋体"/>
                <w:sz w:val="24"/>
              </w:rPr>
              <w:t>晰、端正、牢固</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*整机结构</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a)机箱应符合 GB/T 4208、GB/T 26246 的相关规定；</w:t>
            </w:r>
          </w:p>
          <w:p>
            <w:pPr>
              <w:pStyle w:val="null3"/>
              <w:jc w:val="both"/>
            </w:pPr>
            <w:r>
              <w:rPr>
                <w:rFonts w:ascii="宋体" w:hAnsi="宋体" w:cs="宋体" w:eastAsia="宋体"/>
                <w:sz w:val="24"/>
              </w:rPr>
              <w:t>b)产品内部结构应符合通用部件的安装需求；</w:t>
            </w:r>
          </w:p>
          <w:p>
            <w:pPr>
              <w:pStyle w:val="null3"/>
              <w:jc w:val="both"/>
            </w:pPr>
            <w:r>
              <w:rPr>
                <w:rFonts w:ascii="宋体" w:hAnsi="宋体" w:cs="宋体" w:eastAsia="宋体"/>
                <w:sz w:val="24"/>
              </w:rPr>
              <w:t>c)所有输入输出接口应符合相关国家或行业标准；</w:t>
            </w:r>
          </w:p>
          <w:p>
            <w:pPr>
              <w:pStyle w:val="null3"/>
              <w:jc w:val="both"/>
            </w:pPr>
            <w:r>
              <w:rPr>
                <w:rFonts w:ascii="宋体" w:hAnsi="宋体" w:cs="宋体" w:eastAsia="宋体"/>
                <w:sz w:val="24"/>
              </w:rPr>
              <w:t>d)产品零部件应紧固无松动，可插拔部件应可靠连接，开关、按钮和其它控制部件应灵活可靠，布局应方便使用；</w:t>
            </w:r>
          </w:p>
          <w:p>
            <w:pPr>
              <w:pStyle w:val="null3"/>
              <w:jc w:val="both"/>
            </w:pPr>
            <w:r>
              <w:rPr>
                <w:rFonts w:ascii="宋体" w:hAnsi="宋体" w:cs="宋体" w:eastAsia="宋体"/>
                <w:sz w:val="24"/>
              </w:rPr>
              <w:t>e)所有I/O 连接器及需插接线缆的部位应预留采购人操作空间，方便插拔解锁与插拔线缆；</w:t>
            </w:r>
          </w:p>
          <w:p>
            <w:pPr>
              <w:pStyle w:val="null3"/>
              <w:jc w:val="both"/>
            </w:pPr>
            <w:r>
              <w:rPr>
                <w:rFonts w:ascii="宋体" w:hAnsi="宋体" w:cs="宋体" w:eastAsia="宋体"/>
                <w:sz w:val="24"/>
              </w:rPr>
              <w:t>f)可插拔板卡插槽部位应预留安装、拆卸或更换板卡空间；</w:t>
            </w:r>
          </w:p>
          <w:p>
            <w:pPr>
              <w:pStyle w:val="null3"/>
              <w:jc w:val="both"/>
            </w:pPr>
            <w:r>
              <w:rPr>
                <w:rFonts w:ascii="宋体" w:hAnsi="宋体" w:cs="宋体" w:eastAsia="宋体"/>
                <w:sz w:val="24"/>
              </w:rPr>
              <w:t>g)拆装可能接触到的金属剪口或金属尖角部位应做防划伤处理，以保证安全；</w:t>
            </w:r>
          </w:p>
          <w:p>
            <w:pPr>
              <w:pStyle w:val="null3"/>
              <w:jc w:val="both"/>
            </w:pPr>
            <w:r>
              <w:rPr>
                <w:rFonts w:ascii="宋体" w:hAnsi="宋体" w:cs="宋体" w:eastAsia="宋体"/>
                <w:sz w:val="24"/>
              </w:rPr>
              <w:t>h)整机内部走线应规整，固线结构和位置要合理可靠并做防割线处理，需便于理线和插拔操作，走线应不影响系统各主要部件组装和拆卸；</w:t>
            </w:r>
          </w:p>
          <w:p>
            <w:pPr>
              <w:pStyle w:val="null3"/>
              <w:jc w:val="both"/>
            </w:pPr>
            <w:r>
              <w:rPr>
                <w:rFonts w:ascii="宋体" w:hAnsi="宋体" w:cs="宋体" w:eastAsia="宋体"/>
                <w:sz w:val="24"/>
              </w:rPr>
              <w:t>i)如需通过孔走线，过线孔应做防割线处理；</w:t>
            </w:r>
          </w:p>
          <w:p>
            <w:pPr>
              <w:pStyle w:val="null3"/>
              <w:jc w:val="both"/>
            </w:pPr>
            <w:r>
              <w:rPr>
                <w:rFonts w:ascii="宋体" w:hAnsi="宋体" w:cs="宋体" w:eastAsia="宋体"/>
                <w:sz w:val="24"/>
              </w:rPr>
              <w:t>j)各插头位置和插拔方向应合理，应做到插拔无障碍设计，具备防呆设计， 有效避免误操作；</w:t>
            </w:r>
          </w:p>
          <w:p>
            <w:pPr>
              <w:pStyle w:val="null3"/>
              <w:jc w:val="both"/>
            </w:pPr>
            <w:r>
              <w:rPr>
                <w:rFonts w:ascii="宋体" w:hAnsi="宋体" w:cs="宋体" w:eastAsia="宋体"/>
                <w:sz w:val="24"/>
              </w:rPr>
              <w:t>k)各主要部件拆装无障碍，使用常规工具拆装，无特殊拆装工具需求；</w:t>
            </w:r>
          </w:p>
          <w:p>
            <w:pPr>
              <w:pStyle w:val="null3"/>
              <w:jc w:val="both"/>
            </w:pPr>
            <w:r>
              <w:rPr>
                <w:rFonts w:ascii="宋体" w:hAnsi="宋体" w:cs="宋体" w:eastAsia="宋体"/>
                <w:sz w:val="24"/>
              </w:rPr>
              <w:t>l)各主要部件拆装步骤要少，各自拆装需避免相互干扰；</w:t>
            </w:r>
          </w:p>
          <w:p>
            <w:pPr>
              <w:pStyle w:val="null3"/>
              <w:jc w:val="both"/>
            </w:pPr>
            <w:r>
              <w:rPr>
                <w:rFonts w:ascii="宋体" w:hAnsi="宋体" w:cs="宋体" w:eastAsia="宋体"/>
                <w:sz w:val="24"/>
              </w:rPr>
              <w:t>m)对于整机或零部件外表面为高亮面的，应粘贴保护膜，保护膜需粘贴牢固，运输、组装过程不易脱落，撕下无残留；</w:t>
            </w:r>
          </w:p>
          <w:p>
            <w:pPr>
              <w:pStyle w:val="null3"/>
              <w:jc w:val="both"/>
            </w:pPr>
            <w:r>
              <w:rPr>
                <w:rFonts w:ascii="宋体" w:hAnsi="宋体" w:cs="宋体" w:eastAsia="宋体"/>
                <w:sz w:val="24"/>
              </w:rPr>
              <w:t>n) 其它要求应符合 GB/T 9813.1 的相关规定</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*机箱防护要求</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机箱应符合 GB/T 4208 中 IP20 防护要求</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*整机噪音</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产品工作在空闲状态下，产品的声功率级应≤4.5 Bel</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*整机散热</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在环境温度 25℃及处理器满载情况下，产品表面温度应符合如下要求：</w:t>
            </w:r>
          </w:p>
          <w:p>
            <w:pPr>
              <w:pStyle w:val="null3"/>
              <w:jc w:val="both"/>
            </w:pPr>
            <w:r>
              <w:rPr>
                <w:rFonts w:ascii="宋体" w:hAnsi="宋体" w:cs="宋体" w:eastAsia="宋体"/>
                <w:sz w:val="24"/>
              </w:rPr>
              <w:t>出风口在机箱后面板情况下，出风口温度≤55℃；</w:t>
            </w:r>
          </w:p>
          <w:p>
            <w:pPr>
              <w:pStyle w:val="null3"/>
              <w:jc w:val="both"/>
            </w:pPr>
            <w:r>
              <w:rPr>
                <w:rFonts w:ascii="宋体" w:hAnsi="宋体" w:cs="宋体" w:eastAsia="宋体"/>
                <w:sz w:val="24"/>
              </w:rPr>
              <w:t>可触及面温度≤45℃；</w:t>
            </w:r>
          </w:p>
          <w:p>
            <w:pPr>
              <w:pStyle w:val="null3"/>
              <w:jc w:val="both"/>
            </w:pPr>
            <w:r>
              <w:rPr>
                <w:rFonts w:ascii="宋体" w:hAnsi="宋体" w:cs="宋体" w:eastAsia="宋体"/>
                <w:sz w:val="24"/>
              </w:rPr>
              <w:t>显示器表面温度：显示屏≤38℃，显示屏上下灯带位置温度（如涉及）≤40℃，出风口温度≤45℃</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*整机能效限定值</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产品能效限定值应达到GB 28380-2012标准中能效等级 2 级及以上</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*机身材质</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金属</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*机身颜色</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黑色</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*机箱尺寸容量</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15L≤机箱体积≤30L</w:t>
            </w:r>
          </w:p>
        </w:tc>
      </w:tr>
      <w:tr>
        <w:tc>
          <w:tcPr>
            <w:tcW w:type="dxa" w:w="124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*CPU</w:t>
            </w:r>
          </w:p>
          <w:p>
            <w:pPr>
              <w:pStyle w:val="null3"/>
              <w:jc w:val="both"/>
            </w:pPr>
            <w:r>
              <w:rPr>
                <w:rFonts w:ascii="宋体" w:hAnsi="宋体" w:cs="宋体" w:eastAsia="宋体"/>
                <w:sz w:val="24"/>
              </w:rPr>
              <w:t>性能</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*CPU 物理核数</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≥8</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*CPU 主频</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≥3.0GHz</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*CPU 末级缓存容量</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≥16MB</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*CPU 支持的内存最高速率</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≥2666MT/s</w:t>
            </w:r>
          </w:p>
        </w:tc>
      </w:tr>
      <w:tr>
        <w:tc>
          <w:tcPr>
            <w:tcW w:type="dxa" w:w="12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*内存性能</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*内存读写速率</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≥2666MT/s</w:t>
            </w:r>
          </w:p>
        </w:tc>
      </w:tr>
      <w:tr>
        <w:tc>
          <w:tcPr>
            <w:tcW w:type="dxa" w:w="124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*显卡性能</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*显示分辨率</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≥1920x1080</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*显卡显示芯片核心频率</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≥300MHz</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*显存等效频率</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≥1000MT/s</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*显卡可支持多屏同时显示数量</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显卡应支持 2 块屏幕同时显示，分辨率应≥1920×1080</w:t>
            </w:r>
          </w:p>
        </w:tc>
      </w:tr>
      <w:tr>
        <w:tc>
          <w:tcPr>
            <w:tcW w:type="dxa" w:w="124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*显示设备性能</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*显示屏刷新率</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≥75Hz</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*显示屏位深</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≥8 位</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*显示屏色域</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≥99% sRGB</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*显示屏色准</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△E ≤ 4</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*显示屏响应时间</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≤8ms</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*显示屏亮度</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≥250 尼特</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*显示屏亮度一致性</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≥70%</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*显示屏对比度</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≥500：1</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*显示屏其他参数</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其它参数应符合 SJ/T 11292 的相关规定</w:t>
            </w:r>
          </w:p>
        </w:tc>
      </w:tr>
      <w:tr>
        <w:tc>
          <w:tcPr>
            <w:tcW w:type="dxa" w:w="12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*网络设备性能</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*有线网卡速率</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最高速率应≥1000Mbps，应支持10Mbps、100Mbps、1000Mbps 速率自适应</w:t>
            </w:r>
          </w:p>
        </w:tc>
      </w:tr>
      <w:tr>
        <w:tc>
          <w:tcPr>
            <w:tcW w:type="dxa" w:w="124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*主板功能</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*内存扩展接口 (板载内存不涉及)</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≥4 个</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存储扩展接口(板载存储不涉及)</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供应商给出主板支持存储扩展接口类型，如 UFS3.0、SATA3.0、SAS3.0、M.2、mSATA类型接口</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*主板USB 瞬间过流保护</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支持有瞬间过流保护功能</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*主板防静电保护</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支持防静电保护功能</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*I/O 接口功能</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提供基于标准USB 接口外设连接功能、基于音频输入输出接口的音频扩展功能、基于PCIe 接口板卡扩展功能、基于 HDMI 或 VGA 或 Type-C 或 DVI 或 DP 等接口外接显示器扩展功能、基于存储接口对产品进行增容功能等。产品I/O 接口，应具备外接标准 USB 设备、显示器、音频设备等内外部设备能力</w:t>
            </w:r>
          </w:p>
        </w:tc>
      </w:tr>
      <w:tr>
        <w:tc>
          <w:tcPr>
            <w:tcW w:type="dxa" w:w="124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*显卡功能</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*显卡外接显示接口</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支持 VGA、DP、HDIM显示接口,并与显示器接口相匹配</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独立显卡数量</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w:t>
            </w:r>
          </w:p>
        </w:tc>
      </w:tr>
      <w:tr>
        <w:tc>
          <w:tcPr>
            <w:tcW w:type="dxa" w:w="124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*显示设备功能</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*显示器支架</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显示器应提供显示器支架，根据采购人需求支</w:t>
            </w:r>
          </w:p>
          <w:p>
            <w:pPr>
              <w:pStyle w:val="null3"/>
              <w:jc w:val="both"/>
            </w:pPr>
            <w:r>
              <w:rPr>
                <w:rFonts w:ascii="宋体" w:hAnsi="宋体" w:cs="宋体" w:eastAsia="宋体"/>
                <w:sz w:val="24"/>
              </w:rPr>
              <w:t>持屏幕旋转、升降等</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*显示器参数调节</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提供 OSD 选单按钮用于调节色彩、模式等；</w:t>
            </w:r>
          </w:p>
          <w:p>
            <w:pPr>
              <w:pStyle w:val="null3"/>
              <w:jc w:val="both"/>
            </w:pPr>
            <w:r>
              <w:rPr>
                <w:rFonts w:ascii="宋体" w:hAnsi="宋体" w:cs="宋体" w:eastAsia="宋体"/>
                <w:sz w:val="24"/>
              </w:rPr>
              <w:t>支持色温、亮度、对比度调节</w:t>
            </w:r>
          </w:p>
        </w:tc>
      </w:tr>
      <w:tr>
        <w:tc>
          <w:tcPr>
            <w:tcW w:type="dxa" w:w="12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外设功能</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光驱功能</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光驱应支持只读、刻录等类型；最大读取速度 CD ≥24×150KB/s；</w:t>
            </w:r>
          </w:p>
          <w:p>
            <w:pPr>
              <w:pStyle w:val="null3"/>
              <w:jc w:val="both"/>
            </w:pPr>
            <w:r>
              <w:rPr>
                <w:rFonts w:ascii="宋体" w:hAnsi="宋体" w:cs="宋体" w:eastAsia="宋体"/>
                <w:sz w:val="24"/>
              </w:rPr>
              <w:t>最大读取速度DVD ≥8×358KB/s；</w:t>
            </w:r>
          </w:p>
          <w:p>
            <w:pPr>
              <w:pStyle w:val="null3"/>
              <w:jc w:val="both"/>
            </w:pPr>
            <w:r>
              <w:rPr>
                <w:rFonts w:ascii="宋体" w:hAnsi="宋体" w:cs="宋体" w:eastAsia="宋体"/>
                <w:sz w:val="24"/>
              </w:rPr>
              <w:t>最大刻录速度CD ≥24×150KB/s；</w:t>
            </w:r>
          </w:p>
          <w:p>
            <w:pPr>
              <w:pStyle w:val="null3"/>
              <w:jc w:val="both"/>
            </w:pPr>
            <w:r>
              <w:rPr>
                <w:rFonts w:ascii="宋体" w:hAnsi="宋体" w:cs="宋体" w:eastAsia="宋体"/>
                <w:sz w:val="24"/>
              </w:rPr>
              <w:t>最大刻录速度 DVD ≥ 6× 1358KB/s；</w:t>
            </w:r>
          </w:p>
          <w:p>
            <w:pPr>
              <w:pStyle w:val="null3"/>
              <w:jc w:val="both"/>
            </w:pPr>
            <w:r>
              <w:rPr>
                <w:rFonts w:ascii="宋体" w:hAnsi="宋体" w:cs="宋体" w:eastAsia="宋体"/>
                <w:sz w:val="24"/>
              </w:rPr>
              <w:t>兼容光盘类型包含只读光盘、可读写光盘、可擦写光盘等</w:t>
            </w:r>
          </w:p>
        </w:tc>
      </w:tr>
      <w:tr>
        <w:tc>
          <w:tcPr>
            <w:tcW w:type="dxa" w:w="124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*存储功能</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*存储功能</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通过 SATA 固态存储/PCIe 固态存储/UFS 固态存储/SATA 硬磁盘等存储部件提供存储功能</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内置控制器固态存储加密</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固态存储通过内置控制器硬件支持加密，不依赖处理器，保障数据安全性， 但不得影响存储性能。</w:t>
            </w:r>
          </w:p>
          <w:p>
            <w:pPr>
              <w:pStyle w:val="null3"/>
              <w:jc w:val="both"/>
            </w:pPr>
            <w:r>
              <w:rPr>
                <w:rFonts w:ascii="宋体" w:hAnsi="宋体" w:cs="宋体" w:eastAsia="宋体"/>
                <w:sz w:val="24"/>
              </w:rPr>
              <w:t>支持加密功能，且加密功能开启不影响 SSD 读写性能；</w:t>
            </w:r>
          </w:p>
          <w:p>
            <w:pPr>
              <w:pStyle w:val="null3"/>
              <w:jc w:val="both"/>
            </w:pPr>
            <w:r>
              <w:rPr>
                <w:rFonts w:ascii="宋体" w:hAnsi="宋体" w:cs="宋体" w:eastAsia="宋体"/>
                <w:sz w:val="24"/>
              </w:rPr>
              <w:t>支持固件加密、安全启动和安全升级；</w:t>
            </w:r>
          </w:p>
          <w:p>
            <w:pPr>
              <w:pStyle w:val="null3"/>
              <w:jc w:val="both"/>
            </w:pPr>
            <w:r>
              <w:rPr>
                <w:rFonts w:ascii="宋体" w:hAnsi="宋体" w:cs="宋体" w:eastAsia="宋体"/>
                <w:sz w:val="24"/>
              </w:rPr>
              <w:t>支持数据的安全擦除</w:t>
            </w:r>
          </w:p>
        </w:tc>
      </w:tr>
      <w:tr>
        <w:tc>
          <w:tcPr>
            <w:tcW w:type="dxa" w:w="1245"/>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*网络设备功能</w:t>
            </w:r>
          </w:p>
        </w:tc>
        <w:tc>
          <w:tcPr>
            <w:tcW w:type="dxa" w:w="129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*网络功能</w:t>
            </w:r>
          </w:p>
        </w:tc>
        <w:tc>
          <w:tcPr>
            <w:tcW w:type="dxa" w:w="571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a)支持网络连接、网络开启/关闭功能；</w:t>
            </w:r>
          </w:p>
          <w:p>
            <w:pPr>
              <w:pStyle w:val="null3"/>
              <w:jc w:val="both"/>
            </w:pPr>
            <w:r>
              <w:rPr>
                <w:rFonts w:ascii="宋体" w:hAnsi="宋体" w:cs="宋体" w:eastAsia="宋体"/>
                <w:sz w:val="24"/>
              </w:rPr>
              <w:t>b)支持访问网络和数据交换功能</w:t>
            </w:r>
          </w:p>
        </w:tc>
      </w:tr>
      <w:tr>
        <w:tc>
          <w:tcPr>
            <w:tcW w:type="dxa" w:w="124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物理开关</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支持网络设备物理开关</w:t>
            </w:r>
          </w:p>
        </w:tc>
      </w:tr>
      <w:tr>
        <w:tc>
          <w:tcPr>
            <w:tcW w:type="dxa" w:w="124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*数据传输</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支持数据传输能力，并提供数据流量和异常日</w:t>
            </w:r>
          </w:p>
          <w:p>
            <w:pPr>
              <w:pStyle w:val="null3"/>
              <w:jc w:val="both"/>
            </w:pPr>
            <w:r>
              <w:rPr>
                <w:rFonts w:ascii="宋体" w:hAnsi="宋体" w:cs="宋体" w:eastAsia="宋体"/>
                <w:sz w:val="24"/>
              </w:rPr>
              <w:t>志记录功能</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*有线网卡接口类型</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支持 RJ45 接口</w:t>
            </w:r>
          </w:p>
        </w:tc>
      </w:tr>
      <w:tr>
        <w:tc>
          <w:tcPr>
            <w:tcW w:type="dxa" w:w="124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*外部接口功能</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*音频接口类型</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支持 3.5mm 孔径 3 段式或 4 段式接口</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*视频接口类型</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至少支持 VGA、HDMI、DVI、DP、Type-C 中 2种显示接口</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*HDMI、DP、Type-C 显示接口要求</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若提供HDMI 或DP 或 Type-C 作为显示接口，应支持音频和视频同步输出</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其他接口</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支持串行接口，可实现 GB/T 6107 的功能；</w:t>
            </w:r>
          </w:p>
          <w:p>
            <w:pPr>
              <w:pStyle w:val="null3"/>
              <w:jc w:val="both"/>
            </w:pPr>
            <w:r>
              <w:rPr>
                <w:rFonts w:ascii="宋体" w:hAnsi="宋体" w:cs="宋体" w:eastAsia="宋体"/>
                <w:sz w:val="24"/>
              </w:rPr>
              <w:t>支持并行接口，可实现 GB/T18235.1 的功能</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存储卡接口类型</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支持 SD、TF 存储卡接口</w:t>
            </w:r>
          </w:p>
        </w:tc>
      </w:tr>
      <w:tr>
        <w:tc>
          <w:tcPr>
            <w:tcW w:type="dxa" w:w="12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*电源功能</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*电源线适配能力</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电源适配器电线组件应符合 GB/T 15934 的要求，可拆线的插头和连接器可以不做要求</w:t>
            </w:r>
          </w:p>
        </w:tc>
      </w:tr>
      <w:tr>
        <w:tc>
          <w:tcPr>
            <w:tcW w:type="dxa" w:w="124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*操作系统及软件功能</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*中文信息处理要求</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符合 GB 18030 的相关规定</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*操作系统备份及还原功能</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支持操作系统备份及还原功能</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*固件备份还原能力</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支持备份及还原固件的功能</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*操作系统及驱动升级</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支持通过网络、闪存盘、光盘方式对操作系统、驱</w:t>
            </w:r>
          </w:p>
          <w:p>
            <w:pPr>
              <w:pStyle w:val="null3"/>
              <w:jc w:val="both"/>
            </w:pPr>
            <w:r>
              <w:rPr>
                <w:rFonts w:ascii="宋体" w:hAnsi="宋体" w:cs="宋体" w:eastAsia="宋体"/>
                <w:sz w:val="24"/>
              </w:rPr>
              <w:t>动进行升级</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*固件升级</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支持通过网络、闪存盘、光盘方式对固件进行升级</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*BIOS 支持关闭通讯接口</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支持 BIOS 关闭以太网及 USB 接口</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*固件查看信息</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支持查看固件版本、内存信息、主板信息、处理器信息和系统时间信息功能</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*固件设置启动顺序</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支持设置启动顺序功能，并按照设置的启动顺序启动</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*固件设置口令</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支持设置口令、修改口令、验证口令功能</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*固件设置网络引导</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支持网络引导启动和关闭功能</w:t>
            </w:r>
          </w:p>
        </w:tc>
      </w:tr>
      <w:tr>
        <w:tc>
          <w:tcPr>
            <w:tcW w:type="dxa" w:w="124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*存储设备可靠性</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*固态存储寿命</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TBW ≥ 80TB（条件：240GB 硬盘容量）</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*机械硬盘寿命</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通电时间≥5 万小时</w:t>
            </w:r>
          </w:p>
        </w:tc>
      </w:tr>
      <w:tr>
        <w:tc>
          <w:tcPr>
            <w:tcW w:type="dxa" w:w="12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*显示设备可靠性</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*显示屏屏幕失效点</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符合 GB/T 9813.2 的要求</w:t>
            </w:r>
          </w:p>
        </w:tc>
      </w:tr>
      <w:tr>
        <w:tc>
          <w:tcPr>
            <w:tcW w:type="dxa" w:w="124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*外设可靠性</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*键盘按键寿命</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≥1000 万次</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*鼠标按键寿命</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≥500 万次</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*键盘鼠标线材寿命</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键盘鼠标所用线材经±60°弯折≥ 3000次，功能、外观完好</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*风扇寿命</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≥4 万小时</w:t>
            </w:r>
          </w:p>
        </w:tc>
      </w:tr>
      <w:tr>
        <w:tc>
          <w:tcPr>
            <w:tcW w:type="dxa" w:w="1245"/>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*整机可靠性要求</w:t>
            </w:r>
          </w:p>
        </w:tc>
        <w:tc>
          <w:tcPr>
            <w:tcW w:type="dxa" w:w="129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*电磁兼容性要求的抗扰度</w:t>
            </w:r>
          </w:p>
        </w:tc>
        <w:tc>
          <w:tcPr>
            <w:tcW w:type="dxa" w:w="571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符合 GB/T 9254.2 的规定</w:t>
            </w:r>
          </w:p>
        </w:tc>
      </w:tr>
      <w:tr>
        <w:tc>
          <w:tcPr>
            <w:tcW w:type="dxa" w:w="124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*环境条件要求的气候环境适应性</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符合 GB/T 9813.1 中规定</w:t>
            </w:r>
          </w:p>
        </w:tc>
      </w:tr>
      <w:tr>
        <w:tc>
          <w:tcPr>
            <w:tcW w:type="dxa" w:w="124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*环境条件要求的振动适应性</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符合 GB/T 9813.1 中规定</w:t>
            </w:r>
          </w:p>
        </w:tc>
      </w:tr>
      <w:tr>
        <w:tc>
          <w:tcPr>
            <w:tcW w:type="dxa" w:w="124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*环境条件要求的冲击适应性</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符合 GB/T 9813.1 中规定</w:t>
            </w:r>
          </w:p>
        </w:tc>
      </w:tr>
      <w:tr>
        <w:tc>
          <w:tcPr>
            <w:tcW w:type="dxa" w:w="124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*环境条件要求的碰撞适应性</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符合 GB/T 9813.1 中规定</w:t>
            </w:r>
          </w:p>
        </w:tc>
      </w:tr>
      <w:tr>
        <w:tc>
          <w:tcPr>
            <w:tcW w:type="dxa" w:w="124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*环境条件要求的运输包装件跌落适应性</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符合 GB/T 9813.1 中规定</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*MTBF 测试</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MTBF(m1)≥50万小时</w:t>
            </w:r>
          </w:p>
        </w:tc>
      </w:tr>
      <w:tr>
        <w:tc>
          <w:tcPr>
            <w:tcW w:type="dxa" w:w="124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*兼容要求</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*常用软件兼容</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支持流式软件、版式软件、浏览器、邮件采购人端、解压软件、多媒体、图形图像处理等常用软件</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*数据库兼容</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兼容 3 个及以上厂商的数据库产品</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*中间件兼容</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兼容 3 个及以上厂商中间件产品</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*平台软件兼容</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兼容 3 个及以上厂商云计算及大数据平台</w:t>
            </w:r>
          </w:p>
        </w:tc>
      </w:tr>
      <w:tr>
        <w:tc>
          <w:tcPr>
            <w:tcW w:type="dxa" w:w="12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*包装及运输要求</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*标志、包装、运输和贮存</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符合 GB/T 9813.1 和商品包装政府采购需求</w:t>
            </w:r>
          </w:p>
          <w:p>
            <w:pPr>
              <w:pStyle w:val="null3"/>
              <w:jc w:val="both"/>
            </w:pPr>
            <w:r>
              <w:rPr>
                <w:rFonts w:ascii="宋体" w:hAnsi="宋体" w:cs="宋体" w:eastAsia="宋体"/>
                <w:sz w:val="24"/>
              </w:rPr>
              <w:t>标准的相关规定</w:t>
            </w:r>
          </w:p>
        </w:tc>
      </w:tr>
      <w:tr>
        <w:tc>
          <w:tcPr>
            <w:tcW w:type="dxa" w:w="1245"/>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*服务要求</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*配置检查工具</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供应商提供自检测试工具</w:t>
            </w:r>
          </w:p>
        </w:tc>
      </w:tr>
      <w:tr>
        <w:tc>
          <w:tcPr>
            <w:tcW w:type="dxa" w:w="1245"/>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*预装操作系统</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预装符合桌面操作系统政府采购需求标准的正版操作系统，操作系统的授权有效期≥3年</w:t>
            </w:r>
          </w:p>
          <w:p>
            <w:pPr>
              <w:pStyle w:val="null3"/>
              <w:jc w:val="both"/>
            </w:pPr>
          </w:p>
        </w:tc>
      </w:tr>
      <w:tr>
        <w:tc>
          <w:tcPr>
            <w:tcW w:type="dxa" w:w="124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*典型问题解决手册</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供应商提供典型问题解决说明文档或视频</w:t>
            </w:r>
          </w:p>
        </w:tc>
      </w:tr>
      <w:tr>
        <w:tc>
          <w:tcPr>
            <w:tcW w:type="dxa" w:w="124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*厂家升级软件与扩容服务</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供应商提供上门升级部件/软件与扩容的增值服务</w:t>
            </w:r>
          </w:p>
        </w:tc>
      </w:tr>
      <w:tr>
        <w:tc>
          <w:tcPr>
            <w:tcW w:type="dxa" w:w="124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*合格证书要求</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供应商提供产品合格证</w:t>
            </w:r>
          </w:p>
        </w:tc>
      </w:tr>
      <w:tr>
        <w:tc>
          <w:tcPr>
            <w:tcW w:type="dxa" w:w="124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*开箱组装/使用指导要求</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供应商提供开箱组装/使用指导</w:t>
            </w:r>
          </w:p>
        </w:tc>
      </w:tr>
      <w:tr>
        <w:tc>
          <w:tcPr>
            <w:tcW w:type="dxa" w:w="124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*驱动下载服务要求</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供应商提供驱动光盘或下载方式</w:t>
            </w:r>
          </w:p>
        </w:tc>
      </w:tr>
      <w:tr>
        <w:tc>
          <w:tcPr>
            <w:tcW w:type="dxa" w:w="124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*兼容适配软件下载服务要求</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供应商提供兼容适配软件下载渠道（光盘、网</w:t>
            </w:r>
          </w:p>
          <w:p>
            <w:pPr>
              <w:pStyle w:val="null3"/>
              <w:jc w:val="both"/>
            </w:pPr>
            <w:r>
              <w:rPr>
                <w:rFonts w:ascii="宋体" w:hAnsi="宋体" w:cs="宋体" w:eastAsia="宋体"/>
                <w:sz w:val="24"/>
              </w:rPr>
              <w:t>站）</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跨架构平台应用兼容</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供应商提供跨架构平台的应用兼容工具，支持一种或者一种以上不同架构平台的应用</w:t>
            </w:r>
          </w:p>
        </w:tc>
      </w:tr>
      <w:tr>
        <w:tc>
          <w:tcPr>
            <w:tcW w:type="dxa" w:w="124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*供应链质量</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*抗干扰性</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当产品部件出现供应风险时，供应商应通知采购人并提供风险应对方案确保产品的服务保障</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*供应能力证明</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供应商提供供应链稳定承诺书，确保产品的部件在产品服务周期内稳定供货</w:t>
            </w:r>
          </w:p>
        </w:tc>
      </w:tr>
      <w:tr>
        <w:tc>
          <w:tcPr>
            <w:tcW w:type="dxa" w:w="12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*关键部件安全要求</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*关键部件安全要 求</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CPU 和操作系统等关键部件应当符合安全可靠测评要求</w:t>
            </w:r>
          </w:p>
        </w:tc>
      </w:tr>
      <w:tr>
        <w:tc>
          <w:tcPr>
            <w:tcW w:type="dxa" w:w="124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*整机安全性要求</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*密码算法实现</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CPU 芯片应符合 GM/T 0008 的相关规定，或芯片密码模块应符合 GB/T 37092 或 GM/T 0028 的相关规定</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USB 端口管控</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支持 USB 端口管控</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安全物理锁</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支持安全物理锁</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*信息安全基本要求</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产品应符合 GB/T 39276 的 5.2 的规定；</w:t>
            </w:r>
          </w:p>
          <w:p>
            <w:pPr>
              <w:pStyle w:val="null3"/>
              <w:jc w:val="both"/>
            </w:pPr>
            <w:r>
              <w:rPr>
                <w:rFonts w:ascii="宋体" w:hAnsi="宋体" w:cs="宋体" w:eastAsia="宋体"/>
                <w:sz w:val="24"/>
              </w:rPr>
              <w:t>生产厂商应建立漏洞跟踪表，保证产品版本涉及到的漏洞(如驱动程序等)可查看；</w:t>
            </w:r>
          </w:p>
          <w:p>
            <w:pPr>
              <w:pStyle w:val="null3"/>
              <w:jc w:val="both"/>
            </w:pPr>
            <w:r>
              <w:rPr>
                <w:rFonts w:ascii="宋体" w:hAnsi="宋体" w:cs="宋体" w:eastAsia="宋体"/>
                <w:sz w:val="24"/>
              </w:rPr>
              <w:t>产品不得包含已知的恶意代码或漏洞，不存在未声明的指令、功能、接口</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*固件安全启动</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支持固件安全启动功能，固件启动过程中只有</w:t>
            </w:r>
          </w:p>
          <w:p>
            <w:pPr>
              <w:pStyle w:val="null3"/>
              <w:jc w:val="both"/>
            </w:pPr>
            <w:r>
              <w:rPr>
                <w:rFonts w:ascii="宋体" w:hAnsi="宋体" w:cs="宋体" w:eastAsia="宋体"/>
                <w:sz w:val="24"/>
              </w:rPr>
              <w:t>通过启动校验才能正常启动</w:t>
            </w:r>
          </w:p>
        </w:tc>
      </w:tr>
      <w:tr>
        <w:tc>
          <w:tcPr>
            <w:tcW w:type="dxa" w:w="1245"/>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*限用物质的限量要求</w:t>
            </w: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符合 GB/T 26572 中规定</w:t>
            </w:r>
          </w:p>
        </w:tc>
      </w:tr>
      <w:tr>
        <w:tc>
          <w:tcPr>
            <w:tcW w:type="dxa" w:w="12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其他要求</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p>
        </w:tc>
        <w:tc>
          <w:tcPr>
            <w:tcW w:type="dxa" w:w="571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参数符合《台式计算机政府采购需求标准（2023年版）》</w:t>
            </w:r>
          </w:p>
        </w:tc>
      </w:tr>
    </w:tbl>
    <w:p>
      <w:pPr>
        <w:pStyle w:val="null3"/>
      </w:pPr>
      <w:r>
        <w:rPr/>
        <w:t xml:space="preserve"> </w:t>
      </w:r>
    </w:p>
    <w:p>
      <w:pPr>
        <w:pStyle w:val="null3"/>
        <w:jc w:val="both"/>
      </w:pPr>
      <w:r>
        <w:rPr>
          <w:rFonts w:ascii="宋体" w:hAnsi="宋体" w:cs="宋体" w:eastAsia="宋体"/>
          <w:sz w:val="24"/>
          <w:b/>
        </w:rPr>
        <w:t>1-2 台式一体机</w:t>
      </w:r>
    </w:p>
    <w:p>
      <w:pPr>
        <w:pStyle w:val="null3"/>
      </w:pPr>
      <w:r>
        <w:rPr/>
        <w:t xml:space="preserve"> </w:t>
      </w:r>
    </w:p>
    <w:tbl>
      <w:tblPr>
        <w:tblW w:w="0" w:type="auto"/>
        <w:tblInd w:type="dxa" w:w="420"/>
        <w:tblBorders>
          <w:top w:val="none" w:color="000000" w:sz="4"/>
          <w:left w:val="none" w:color="000000" w:sz="4"/>
          <w:bottom w:val="none" w:color="000000" w:sz="4"/>
          <w:right w:val="none" w:color="000000" w:sz="4"/>
          <w:insideH w:val="none"/>
          <w:insideV w:val="none"/>
        </w:tblBorders>
      </w:tblPr>
      <w:tblGrid>
        <w:gridCol w:w="1140"/>
        <w:gridCol w:w="1290"/>
        <w:gridCol w:w="5640"/>
      </w:tblGrid>
      <w:tr>
        <w:tc>
          <w:tcPr>
            <w:tcW w:type="dxa" w:w="114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rPr>
              <w:t>一级指标1</w:t>
            </w:r>
          </w:p>
        </w:tc>
        <w:tc>
          <w:tcPr>
            <w:tcW w:type="dxa" w:w="129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rPr>
              <w:t>二级指标 1</w:t>
            </w:r>
          </w:p>
        </w:tc>
        <w:tc>
          <w:tcPr>
            <w:tcW w:type="dxa" w:w="564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rPr>
              <w:t>指标要求</w:t>
            </w:r>
          </w:p>
        </w:tc>
      </w:tr>
      <w:tr>
        <w:tc>
          <w:tcPr>
            <w:tcW w:type="dxa" w:w="11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*CPU</w:t>
            </w:r>
          </w:p>
          <w:p>
            <w:pPr>
              <w:pStyle w:val="null3"/>
              <w:jc w:val="both"/>
            </w:pPr>
            <w:r>
              <w:rPr>
                <w:rFonts w:ascii="宋体" w:hAnsi="宋体" w:cs="宋体" w:eastAsia="宋体"/>
                <w:sz w:val="24"/>
              </w:rPr>
              <w:t>规格</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*CPU 信息</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国产处理器，CPU物理核心数≥8核，主频≥3.0GHz</w:t>
            </w:r>
          </w:p>
        </w:tc>
      </w:tr>
      <w:tr>
        <w:tc>
          <w:tcPr>
            <w:tcW w:type="dxa" w:w="114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*内存规格</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*内存配置容量</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≥16GB</w:t>
            </w:r>
          </w:p>
        </w:tc>
      </w:tr>
      <w:tr>
        <w:tc>
          <w:tcPr>
            <w:tcW w:type="dxa" w:w="1140"/>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*内存类型</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DDR4，内存速度≥3200MT/s</w:t>
            </w:r>
          </w:p>
        </w:tc>
      </w:tr>
      <w:tr>
        <w:tc>
          <w:tcPr>
            <w:tcW w:type="dxa" w:w="1140"/>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*内存条配置数量（板载内存不涉及）</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≥2</w:t>
            </w:r>
          </w:p>
        </w:tc>
      </w:tr>
      <w:tr>
        <w:tc>
          <w:tcPr>
            <w:tcW w:type="dxa" w:w="114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*主板规格</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*主板集成模块</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集成声卡，网卡</w:t>
            </w:r>
          </w:p>
        </w:tc>
      </w:tr>
      <w:tr>
        <w:tc>
          <w:tcPr>
            <w:tcW w:type="dxa" w:w="1140"/>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*主板支持的 CPU 和内存情况</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内存型号：DDR4 3200</w:t>
            </w:r>
          </w:p>
          <w:p>
            <w:pPr>
              <w:pStyle w:val="null3"/>
              <w:jc w:val="both"/>
            </w:pPr>
            <w:r>
              <w:rPr>
                <w:rFonts w:ascii="宋体" w:hAnsi="宋体" w:cs="宋体" w:eastAsia="宋体"/>
                <w:sz w:val="24"/>
              </w:rPr>
              <w:t>数量:2</w:t>
            </w:r>
          </w:p>
        </w:tc>
      </w:tr>
      <w:tr>
        <w:tc>
          <w:tcPr>
            <w:tcW w:type="dxa" w:w="1140"/>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*单内存插槽最大可支持容量（板载内存不涉及）</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≥16GB</w:t>
            </w:r>
          </w:p>
        </w:tc>
      </w:tr>
      <w:tr>
        <w:tc>
          <w:tcPr>
            <w:tcW w:type="dxa" w:w="1140"/>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*内存插槽满配时提供的最高内存总容量</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≥32GB</w:t>
            </w:r>
          </w:p>
        </w:tc>
      </w:tr>
      <w:tr>
        <w:tc>
          <w:tcPr>
            <w:tcW w:type="dxa" w:w="114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*存储设备规格</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*固态盘数量</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 个</w:t>
            </w:r>
          </w:p>
        </w:tc>
      </w:tr>
      <w:tr>
        <w:tc>
          <w:tcPr>
            <w:tcW w:type="dxa" w:w="1140"/>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*固态存储容量</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≥512GB</w:t>
            </w:r>
          </w:p>
        </w:tc>
      </w:tr>
      <w:tr>
        <w:tc>
          <w:tcPr>
            <w:tcW w:type="dxa" w:w="1140"/>
            <w:vMerge/>
            <w:tcBorders>
              <w:top w:val="none" w:color="000000" w:sz="4"/>
              <w:left w:val="single" w:color="000000" w:sz="4"/>
              <w:bottom w:val="single" w:color="000000" w:sz="4"/>
              <w:right w:val="single" w:color="000000" w:sz="4"/>
            </w:tcBorders>
          </w:tcPr>
          <w:p/>
        </w:tc>
        <w:tc>
          <w:tcPr>
            <w:tcW w:type="dxa" w:w="129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564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r>
      <w:tr>
        <w:tc>
          <w:tcPr>
            <w:tcW w:type="dxa" w:w="1140"/>
            <w:vMerge/>
            <w:tcBorders>
              <w:top w:val="none" w:color="000000" w:sz="4"/>
              <w:left w:val="single" w:color="000000" w:sz="4"/>
              <w:bottom w:val="single" w:color="000000" w:sz="4"/>
              <w:right w:val="single" w:color="000000" w:sz="4"/>
            </w:tcBorders>
          </w:tcPr>
          <w:p/>
        </w:tc>
        <w:tc>
          <w:tcPr>
            <w:tcW w:type="dxa" w:w="1290"/>
            <w:vMerge/>
            <w:tcBorders>
              <w:top w:val="none" w:color="000000" w:sz="4"/>
              <w:left w:val="none" w:color="000000" w:sz="4"/>
              <w:bottom w:val="none" w:color="000000" w:sz="4"/>
              <w:right w:val="single" w:color="000000" w:sz="4"/>
            </w:tcBorders>
          </w:tcPr>
          <w:p/>
        </w:tc>
        <w:tc>
          <w:tcPr>
            <w:tcW w:type="dxa" w:w="5640"/>
            <w:vMerge/>
            <w:tcBorders>
              <w:top w:val="none" w:color="000000" w:sz="4"/>
              <w:left w:val="none" w:color="000000" w:sz="4"/>
              <w:bottom w:val="none" w:color="000000" w:sz="4"/>
              <w:right w:val="single" w:color="000000" w:sz="4"/>
            </w:tcBorders>
          </w:tcPr>
          <w:p/>
        </w:tc>
      </w:tr>
      <w:tr>
        <w:tc>
          <w:tcPr>
            <w:tcW w:type="dxa" w:w="1140"/>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固态存储形态</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采用插卡或板载等形态，可选用符合</w:t>
            </w:r>
          </w:p>
          <w:p>
            <w:pPr>
              <w:pStyle w:val="null3"/>
              <w:jc w:val="both"/>
            </w:pPr>
            <w:r>
              <w:rPr>
                <w:rFonts w:ascii="宋体" w:hAnsi="宋体" w:cs="宋体" w:eastAsia="宋体"/>
                <w:sz w:val="24"/>
              </w:rPr>
              <w:t>M.2 或 2.5 寸 SATA 标准的插卡形态</w:t>
            </w:r>
          </w:p>
        </w:tc>
      </w:tr>
      <w:tr>
        <w:tc>
          <w:tcPr>
            <w:tcW w:type="dxa" w:w="1140"/>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*存储设备扩展盘位</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w:t>
            </w:r>
          </w:p>
        </w:tc>
      </w:tr>
      <w:tr>
        <w:tc>
          <w:tcPr>
            <w:tcW w:type="dxa" w:w="114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*显卡规格</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*显卡类型</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独立显卡</w:t>
            </w:r>
          </w:p>
        </w:tc>
      </w:tr>
      <w:tr>
        <w:tc>
          <w:tcPr>
            <w:tcW w:type="dxa" w:w="1140"/>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*独立显卡显存类型</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配置独立显卡，显存类型应为DDR4</w:t>
            </w:r>
          </w:p>
        </w:tc>
      </w:tr>
      <w:tr>
        <w:tc>
          <w:tcPr>
            <w:tcW w:type="dxa" w:w="1140"/>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*独立显卡显存位宽</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配置独立显卡，显存位宽≥64位</w:t>
            </w:r>
          </w:p>
        </w:tc>
      </w:tr>
      <w:tr>
        <w:tc>
          <w:tcPr>
            <w:tcW w:type="dxa" w:w="1140"/>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*独立显卡显存容量</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配置独立显卡，显存容量≥1GB</w:t>
            </w:r>
          </w:p>
        </w:tc>
      </w:tr>
      <w:tr>
        <w:tc>
          <w:tcPr>
            <w:tcW w:type="dxa" w:w="1140"/>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独立显卡接口协议</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支持PCIe 协议版本≥ 2.0 或HT</w:t>
            </w:r>
          </w:p>
          <w:p>
            <w:pPr>
              <w:pStyle w:val="null3"/>
              <w:jc w:val="both"/>
            </w:pPr>
            <w:r>
              <w:rPr>
                <w:rFonts w:ascii="宋体" w:hAnsi="宋体" w:cs="宋体" w:eastAsia="宋体"/>
                <w:sz w:val="24"/>
              </w:rPr>
              <w:t>（HyperTransport）协议版本≥3.0 的独立显卡接口协议</w:t>
            </w:r>
          </w:p>
        </w:tc>
      </w:tr>
      <w:tr>
        <w:tc>
          <w:tcPr>
            <w:tcW w:type="dxa" w:w="114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宋体" w:hAnsi="宋体" w:cs="宋体" w:eastAsia="宋体"/>
                <w:sz w:val="24"/>
              </w:rPr>
              <w:t>*显示设备规格</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*显示屏分辨率</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≥1920x1080</w:t>
            </w:r>
          </w:p>
        </w:tc>
      </w:tr>
      <w:tr>
        <w:tc>
          <w:tcPr>
            <w:tcW w:type="dxa" w:w="1140"/>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*显示屏尺寸</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≥23.8 英寸</w:t>
            </w:r>
          </w:p>
        </w:tc>
      </w:tr>
      <w:tr>
        <w:tc>
          <w:tcPr>
            <w:tcW w:type="dxa" w:w="1140"/>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*显示器</w:t>
            </w:r>
            <w:r>
              <w:rPr>
                <w:rFonts w:ascii="宋体" w:hAnsi="宋体" w:cs="宋体" w:eastAsia="宋体"/>
                <w:sz w:val="24"/>
              </w:rPr>
              <w:t>边框</w:t>
            </w:r>
            <w:r>
              <w:rPr>
                <w:rFonts w:ascii="宋体" w:hAnsi="宋体" w:cs="宋体" w:eastAsia="宋体"/>
                <w:sz w:val="24"/>
              </w:rPr>
              <w:t>颜色</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黑色系</w:t>
            </w:r>
          </w:p>
        </w:tc>
      </w:tr>
      <w:tr>
        <w:tc>
          <w:tcPr>
            <w:tcW w:type="dxa" w:w="1140"/>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left"/>
            </w:pPr>
            <w:r>
              <w:rPr>
                <w:rFonts w:ascii="宋体" w:hAnsi="宋体" w:cs="宋体" w:eastAsia="宋体"/>
                <w:sz w:val="24"/>
              </w:rPr>
              <w:t>*</w:t>
            </w:r>
            <w:r>
              <w:rPr>
                <w:rFonts w:ascii="宋体" w:hAnsi="宋体" w:cs="宋体" w:eastAsia="宋体"/>
                <w:sz w:val="24"/>
              </w:rPr>
              <w:t>外设</w:t>
            </w:r>
            <w:r>
              <w:rPr>
                <w:rFonts w:ascii="宋体" w:hAnsi="宋体" w:cs="宋体" w:eastAsia="宋体"/>
                <w:sz w:val="24"/>
              </w:rPr>
              <w:t>规格</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*鼠标数量</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 个</w:t>
            </w:r>
          </w:p>
        </w:tc>
      </w:tr>
      <w:tr>
        <w:tc>
          <w:tcPr>
            <w:tcW w:type="dxa" w:w="1140"/>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*键盘数量</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 个</w:t>
            </w:r>
          </w:p>
        </w:tc>
      </w:tr>
      <w:tr>
        <w:tc>
          <w:tcPr>
            <w:tcW w:type="dxa" w:w="1140"/>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*键盘按键数目</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104 键</w:t>
            </w:r>
          </w:p>
        </w:tc>
      </w:tr>
      <w:tr>
        <w:tc>
          <w:tcPr>
            <w:tcW w:type="dxa" w:w="1140"/>
            <w:tcBorders>
              <w:top w:val="non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*键盘连接方式</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有线</w:t>
            </w:r>
          </w:p>
        </w:tc>
      </w:tr>
      <w:tr>
        <w:tc>
          <w:tcPr>
            <w:tcW w:type="dxa" w:w="1140"/>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*键盘键程</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2.3mm ~ 4.0mm</w:t>
            </w:r>
          </w:p>
        </w:tc>
      </w:tr>
      <w:tr>
        <w:tc>
          <w:tcPr>
            <w:tcW w:type="dxa" w:w="1140"/>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*键盘按键压力</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按键压力应在 0.54 N±0.14N</w:t>
            </w:r>
          </w:p>
        </w:tc>
      </w:tr>
      <w:tr>
        <w:tc>
          <w:tcPr>
            <w:tcW w:type="dxa" w:w="1140"/>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*有线键盘连接线</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≥1.5米</w:t>
            </w:r>
          </w:p>
        </w:tc>
      </w:tr>
      <w:tr>
        <w:tc>
          <w:tcPr>
            <w:tcW w:type="dxa" w:w="1140"/>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*键盘颜色</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黑色</w:t>
            </w:r>
          </w:p>
        </w:tc>
      </w:tr>
      <w:tr>
        <w:tc>
          <w:tcPr>
            <w:tcW w:type="dxa" w:w="1140"/>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*鼠标连接方式</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有线</w:t>
            </w:r>
          </w:p>
        </w:tc>
      </w:tr>
      <w:tr>
        <w:tc>
          <w:tcPr>
            <w:tcW w:type="dxa" w:w="1140"/>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*有线鼠标连接线</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≥1.5 米</w:t>
            </w:r>
          </w:p>
        </w:tc>
      </w:tr>
      <w:tr>
        <w:tc>
          <w:tcPr>
            <w:tcW w:type="dxa" w:w="1140"/>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*鼠标DPI 分辨率</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800~1600</w:t>
            </w: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*鼠标颜色</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黑色</w:t>
            </w:r>
          </w:p>
        </w:tc>
      </w:tr>
      <w:tr>
        <w:tc>
          <w:tcPr>
            <w:tcW w:type="dxa" w:w="11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*网络设备规格</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*有线网卡数量</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w:t>
            </w:r>
          </w:p>
        </w:tc>
      </w:tr>
      <w:tr>
        <w:tc>
          <w:tcPr>
            <w:tcW w:type="dxa" w:w="1140"/>
            <w:tcBorders>
              <w:top w:val="single" w:color="000000" w:sz="4"/>
              <w:left w:val="single" w:color="000000" w:sz="4"/>
              <w:bottom w:val="non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*外部接口</w:t>
            </w:r>
          </w:p>
          <w:p>
            <w:pPr>
              <w:pStyle w:val="null3"/>
              <w:jc w:val="both"/>
            </w:pPr>
            <w:r>
              <w:rPr>
                <w:rFonts w:ascii="宋体" w:hAnsi="宋体" w:cs="宋体" w:eastAsia="宋体"/>
                <w:sz w:val="24"/>
              </w:rPr>
              <w:t>规格</w:t>
            </w:r>
          </w:p>
        </w:tc>
        <w:tc>
          <w:tcPr>
            <w:tcW w:type="dxa" w:w="129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*USB 接口数量</w:t>
            </w:r>
          </w:p>
        </w:tc>
        <w:tc>
          <w:tcPr>
            <w:tcW w:type="dxa" w:w="564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提供USB口≥8个，其中USB3.0口≥4个</w:t>
            </w:r>
          </w:p>
        </w:tc>
      </w:tr>
      <w:tr>
        <w:tc>
          <w:tcPr>
            <w:tcW w:type="dxa" w:w="1140"/>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*视频接口数量</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w:t>
            </w:r>
          </w:p>
        </w:tc>
      </w:tr>
      <w:tr>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*音频接口数量</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w:t>
            </w:r>
          </w:p>
        </w:tc>
      </w:tr>
      <w:tr>
        <w:tc>
          <w:tcPr>
            <w:tcW w:type="dxa" w:w="114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*整机基础规格</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*整机外观</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产品采用一体机设计方案，配备独立高效散热系统，风道设计导热更迅速，高负荷下稳定安静；</w:t>
            </w:r>
          </w:p>
          <w:p>
            <w:pPr>
              <w:pStyle w:val="null3"/>
              <w:jc w:val="both"/>
            </w:pPr>
            <w:r>
              <w:rPr>
                <w:rFonts w:ascii="宋体" w:hAnsi="宋体" w:cs="宋体" w:eastAsia="宋体"/>
                <w:sz w:val="24"/>
              </w:rPr>
              <w:t>a)产品表面不应有凹痕、划伤、裂缝、变形和污染等。表面涂层均匀，不应起泡、龟裂、脱落和磨损，金属零部件无锈蚀及其它机械损伤；</w:t>
            </w:r>
          </w:p>
          <w:p>
            <w:pPr>
              <w:pStyle w:val="null3"/>
              <w:jc w:val="both"/>
            </w:pPr>
            <w:r>
              <w:rPr>
                <w:rFonts w:ascii="宋体" w:hAnsi="宋体" w:cs="宋体" w:eastAsia="宋体"/>
                <w:sz w:val="24"/>
              </w:rPr>
              <w:t>b)产品表面说明功能的文字、符号、标志，应清晰、端正、牢固</w:t>
            </w:r>
          </w:p>
        </w:tc>
      </w:tr>
      <w:tr>
        <w:tc>
          <w:tcPr>
            <w:tcW w:type="dxa" w:w="1140"/>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*整机结构</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产品采用一体机设计方案，采用23.8 寸一体式终端，配备丰富的的外设接口，可支持各类国产外设；</w:t>
            </w:r>
          </w:p>
          <w:p>
            <w:pPr>
              <w:pStyle w:val="null3"/>
              <w:jc w:val="both"/>
            </w:pPr>
            <w:r>
              <w:rPr>
                <w:rFonts w:ascii="宋体" w:hAnsi="宋体" w:cs="宋体" w:eastAsia="宋体"/>
                <w:sz w:val="24"/>
              </w:rPr>
              <w:t>产品内部结构应符合通用部件的安装需求；</w:t>
            </w:r>
          </w:p>
          <w:p>
            <w:pPr>
              <w:pStyle w:val="null3"/>
              <w:jc w:val="both"/>
            </w:pPr>
            <w:r>
              <w:rPr>
                <w:rFonts w:ascii="宋体" w:hAnsi="宋体" w:cs="宋体" w:eastAsia="宋体"/>
                <w:sz w:val="24"/>
              </w:rPr>
              <w:t>所有输入输出接口应符合相关国家或行业标准；</w:t>
            </w:r>
          </w:p>
          <w:p>
            <w:pPr>
              <w:pStyle w:val="null3"/>
              <w:jc w:val="both"/>
            </w:pPr>
            <w:r>
              <w:rPr>
                <w:rFonts w:ascii="宋体" w:hAnsi="宋体" w:cs="宋体" w:eastAsia="宋体"/>
                <w:sz w:val="24"/>
              </w:rPr>
              <w:t>产品零部件应紧固无松动，可插拔部件应可靠连接，开关、按钮和其它控制部件应灵活可靠，布局应方便使用；</w:t>
            </w:r>
          </w:p>
          <w:p>
            <w:pPr>
              <w:pStyle w:val="null3"/>
              <w:jc w:val="both"/>
            </w:pPr>
            <w:r>
              <w:rPr>
                <w:rFonts w:ascii="宋体" w:hAnsi="宋体" w:cs="宋体" w:eastAsia="宋体"/>
                <w:sz w:val="24"/>
              </w:rPr>
              <w:t>所有I/O 连接器及需插接线缆的部位应预留采购人操作空间，方便插拔解锁与插拔线缆；</w:t>
            </w:r>
          </w:p>
          <w:p>
            <w:pPr>
              <w:pStyle w:val="null3"/>
              <w:jc w:val="both"/>
            </w:pPr>
            <w:r>
              <w:rPr>
                <w:rFonts w:ascii="宋体" w:hAnsi="宋体" w:cs="宋体" w:eastAsia="宋体"/>
                <w:sz w:val="24"/>
              </w:rPr>
              <w:t>可插拔板卡插槽部位应预留安装、拆卸或更换板卡空间；</w:t>
            </w:r>
          </w:p>
          <w:p>
            <w:pPr>
              <w:pStyle w:val="null3"/>
              <w:jc w:val="both"/>
            </w:pPr>
            <w:r>
              <w:rPr>
                <w:rFonts w:ascii="宋体" w:hAnsi="宋体" w:cs="宋体" w:eastAsia="宋体"/>
                <w:sz w:val="24"/>
              </w:rPr>
              <w:t>拆装可能接触到的金属剪口或金属尖角部位应做防划伤处理，以保证安全；</w:t>
            </w:r>
          </w:p>
          <w:p>
            <w:pPr>
              <w:pStyle w:val="null3"/>
              <w:jc w:val="both"/>
            </w:pPr>
            <w:r>
              <w:rPr>
                <w:rFonts w:ascii="宋体" w:hAnsi="宋体" w:cs="宋体" w:eastAsia="宋体"/>
                <w:sz w:val="24"/>
              </w:rPr>
              <w:t>整机内部走线应规整，固线结构和位置要合理可靠并做防割线处理，需便于理线和插拔操作，走线应不影响系统各主要部件组装和拆卸；</w:t>
            </w:r>
          </w:p>
          <w:p>
            <w:pPr>
              <w:pStyle w:val="null3"/>
              <w:jc w:val="both"/>
            </w:pPr>
            <w:r>
              <w:rPr>
                <w:rFonts w:ascii="宋体" w:hAnsi="宋体" w:cs="宋体" w:eastAsia="宋体"/>
                <w:sz w:val="24"/>
              </w:rPr>
              <w:t>如需通过孔走线，过线孔应做防割线处理；</w:t>
            </w:r>
          </w:p>
          <w:p>
            <w:pPr>
              <w:pStyle w:val="null3"/>
              <w:jc w:val="both"/>
            </w:pPr>
            <w:r>
              <w:rPr>
                <w:rFonts w:ascii="宋体" w:hAnsi="宋体" w:cs="宋体" w:eastAsia="宋体"/>
                <w:sz w:val="24"/>
              </w:rPr>
              <w:t>各插头位置和插拔方向应合理，应做到插拔无障碍设计，具备防呆设计， 有效避免误操作；</w:t>
            </w:r>
          </w:p>
          <w:p>
            <w:pPr>
              <w:pStyle w:val="null3"/>
              <w:jc w:val="both"/>
            </w:pPr>
            <w:r>
              <w:rPr>
                <w:rFonts w:ascii="宋体" w:hAnsi="宋体" w:cs="宋体" w:eastAsia="宋体"/>
                <w:sz w:val="24"/>
              </w:rPr>
              <w:t>各主要部件拆装无障碍，使用常规工具拆装，无特殊拆装工具需求；</w:t>
            </w:r>
          </w:p>
          <w:p>
            <w:pPr>
              <w:pStyle w:val="null3"/>
              <w:jc w:val="both"/>
            </w:pPr>
            <w:r>
              <w:rPr>
                <w:rFonts w:ascii="宋体" w:hAnsi="宋体" w:cs="宋体" w:eastAsia="宋体"/>
                <w:sz w:val="24"/>
              </w:rPr>
              <w:t>各主要部件拆装步骤要少，各自拆装需避免相互干扰；</w:t>
            </w:r>
          </w:p>
          <w:p>
            <w:pPr>
              <w:pStyle w:val="null3"/>
              <w:jc w:val="both"/>
            </w:pPr>
            <w:r>
              <w:rPr>
                <w:rFonts w:ascii="宋体" w:hAnsi="宋体" w:cs="宋体" w:eastAsia="宋体"/>
                <w:sz w:val="24"/>
              </w:rPr>
              <w:t>对于整机或零部件外表面为高亮面的，应粘贴保护膜，保护膜需粘贴牢固，运输、组装等过程不易脱落，撕下无残留；</w:t>
            </w:r>
          </w:p>
        </w:tc>
      </w:tr>
      <w:tr>
        <w:tc>
          <w:tcPr>
            <w:tcW w:type="dxa" w:w="1140"/>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*整机散热</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在环境温度 25℃及处理器满载情况下，产品表面温度应符合如下要求：</w:t>
            </w:r>
          </w:p>
          <w:p>
            <w:pPr>
              <w:pStyle w:val="null3"/>
              <w:jc w:val="both"/>
            </w:pPr>
            <w:r>
              <w:rPr>
                <w:rFonts w:ascii="宋体" w:hAnsi="宋体" w:cs="宋体" w:eastAsia="宋体"/>
                <w:sz w:val="24"/>
              </w:rPr>
              <w:t>a）可触及面温度范围内＜45℃；</w:t>
            </w:r>
          </w:p>
          <w:p>
            <w:pPr>
              <w:pStyle w:val="null3"/>
              <w:jc w:val="both"/>
            </w:pPr>
            <w:r>
              <w:rPr>
                <w:rFonts w:ascii="宋体" w:hAnsi="宋体" w:cs="宋体" w:eastAsia="宋体"/>
                <w:sz w:val="24"/>
              </w:rPr>
              <w:t>b)显示器表面温度：显示屏≤38℃，显示屏上下灯带位置温度（如涉及）≤40℃，出风口温度≤55℃</w:t>
            </w:r>
          </w:p>
        </w:tc>
      </w:tr>
      <w:tr>
        <w:tc>
          <w:tcPr>
            <w:tcW w:type="dxa" w:w="1140"/>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机身材质</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金属</w:t>
            </w:r>
          </w:p>
        </w:tc>
      </w:tr>
      <w:tr>
        <w:tc>
          <w:tcPr>
            <w:tcW w:type="dxa" w:w="1140"/>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*机身颜色</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黑色</w:t>
            </w:r>
          </w:p>
        </w:tc>
      </w:tr>
      <w:tr>
        <w:tc>
          <w:tcPr>
            <w:tcW w:type="dxa" w:w="114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*CPU</w:t>
            </w:r>
          </w:p>
          <w:p>
            <w:pPr>
              <w:pStyle w:val="null3"/>
              <w:jc w:val="both"/>
            </w:pPr>
            <w:r>
              <w:rPr>
                <w:rFonts w:ascii="宋体" w:hAnsi="宋体" w:cs="宋体" w:eastAsia="宋体"/>
                <w:sz w:val="24"/>
              </w:rPr>
              <w:t>性能</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*CPU 物理核数</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≥8</w:t>
            </w:r>
          </w:p>
        </w:tc>
      </w:tr>
      <w:tr>
        <w:tc>
          <w:tcPr>
            <w:tcW w:type="dxa" w:w="1140"/>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*CPU 主频</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≥3.0GHz</w:t>
            </w:r>
          </w:p>
        </w:tc>
      </w:tr>
      <w:tr>
        <w:tc>
          <w:tcPr>
            <w:tcW w:type="dxa" w:w="1140"/>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*CPU 末级缓存容量</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≥16MB</w:t>
            </w:r>
          </w:p>
        </w:tc>
      </w:tr>
      <w:tr>
        <w:tc>
          <w:tcPr>
            <w:tcW w:type="dxa" w:w="1140"/>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*CPU 支持的内存最高速率</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≥2666MT/s</w:t>
            </w:r>
          </w:p>
        </w:tc>
      </w:tr>
      <w:tr>
        <w:tc>
          <w:tcPr>
            <w:tcW w:type="dxa" w:w="11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*内存性能</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*内存读写速率</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≥2666MT/s</w:t>
            </w:r>
          </w:p>
        </w:tc>
      </w:tr>
      <w:tr>
        <w:tc>
          <w:tcPr>
            <w:tcW w:type="dxa" w:w="114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*显卡性能</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*显示分辨率</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≥1920x1080</w:t>
            </w:r>
          </w:p>
        </w:tc>
      </w:tr>
      <w:tr>
        <w:tc>
          <w:tcPr>
            <w:tcW w:type="dxa" w:w="1140"/>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*显卡显示芯片核心频率</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≥300MHz</w:t>
            </w:r>
          </w:p>
        </w:tc>
      </w:tr>
      <w:tr>
        <w:tc>
          <w:tcPr>
            <w:tcW w:type="dxa" w:w="1140"/>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*显存等效频率</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≥1000MT/s</w:t>
            </w:r>
          </w:p>
        </w:tc>
      </w:tr>
      <w:tr>
        <w:tc>
          <w:tcPr>
            <w:tcW w:type="dxa" w:w="1140"/>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*显卡可支持多屏同时显示</w:t>
            </w:r>
          </w:p>
          <w:p>
            <w:pPr>
              <w:pStyle w:val="null3"/>
              <w:jc w:val="both"/>
            </w:pPr>
            <w:r>
              <w:rPr>
                <w:rFonts w:ascii="宋体" w:hAnsi="宋体" w:cs="宋体" w:eastAsia="宋体"/>
                <w:sz w:val="24"/>
              </w:rPr>
              <w:t>数量</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显卡应支持 2 块屏幕同时显示，分辨率应≥1920×1080</w:t>
            </w:r>
          </w:p>
        </w:tc>
      </w:tr>
      <w:tr>
        <w:tc>
          <w:tcPr>
            <w:tcW w:type="dxa" w:w="11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*网络设备性能</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*有线网卡速率</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最高速率应≥1000Mbps，应支持10Mbps、100Mbps、1000Mbps 速率自适应</w:t>
            </w:r>
          </w:p>
        </w:tc>
      </w:tr>
      <w:tr>
        <w:tc>
          <w:tcPr>
            <w:tcW w:type="dxa" w:w="114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*主板功能</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*内存扩展接口 (板载内存不涉及)</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≥2 个</w:t>
            </w:r>
          </w:p>
        </w:tc>
      </w:tr>
      <w:tr>
        <w:tc>
          <w:tcPr>
            <w:tcW w:type="dxa" w:w="1140"/>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存储扩展接口(板载存储不涉及)</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SATA、M.2接口</w:t>
            </w:r>
          </w:p>
        </w:tc>
      </w:tr>
      <w:tr>
        <w:tc>
          <w:tcPr>
            <w:tcW w:type="dxa" w:w="1140"/>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*显卡功能</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*显卡外接显示接口</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支持HDMI显示接口</w:t>
            </w:r>
          </w:p>
        </w:tc>
      </w:tr>
      <w:tr>
        <w:tc>
          <w:tcPr>
            <w:tcW w:type="dxa" w:w="1140"/>
            <w:vMerge/>
            <w:tcBorders>
              <w:top w:val="none" w:color="000000" w:sz="4"/>
              <w:left w:val="single" w:color="000000" w:sz="4"/>
              <w:bottom w:val="single" w:color="000000" w:sz="4"/>
              <w:right w:val="single" w:color="000000" w:sz="4"/>
            </w:tcBorders>
          </w:tc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独立显卡数量</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≥1</w:t>
            </w:r>
          </w:p>
        </w:tc>
      </w:tr>
      <w:tr>
        <w:tc>
          <w:tcPr>
            <w:tcW w:type="dxa" w:w="11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*存储功能</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*存储功能</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NVME 固态存储存储部件提供存储功能</w:t>
            </w:r>
          </w:p>
        </w:tc>
      </w:tr>
      <w:tr>
        <w:tc>
          <w:tcPr>
            <w:tcW w:type="dxa" w:w="11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*网络设备功能</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*有线网卡接口类型</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支持 RJ45 接口</w:t>
            </w:r>
          </w:p>
        </w:tc>
      </w:tr>
      <w:tr>
        <w:tc>
          <w:tcPr>
            <w:tcW w:type="dxa" w:w="11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*外部接口功能</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*视频接口类型</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支持 HDMI显示接口</w:t>
            </w:r>
          </w:p>
        </w:tc>
      </w:tr>
      <w:tr>
        <w:tc>
          <w:tcPr>
            <w:tcW w:type="dxa" w:w="11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*关键部件安全</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*关键部件安全要求</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CPU 和操作系统等关键部件应当符合安全可靠测评要求</w:t>
            </w:r>
          </w:p>
        </w:tc>
      </w:tr>
      <w:tr>
        <w:tc>
          <w:tcPr>
            <w:tcW w:type="dxa" w:w="11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*兼容要求</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*常用软件兼容</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支持流式软件、版式软件、浏览器、邮件采购人端、解压软件、多媒体、图形图像处理等常用软件</w:t>
            </w:r>
          </w:p>
        </w:tc>
      </w:tr>
      <w:tr>
        <w:tc>
          <w:tcPr>
            <w:tcW w:type="dxa" w:w="11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24"/>
              </w:rPr>
              <w:t>*服务要求</w:t>
            </w: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24"/>
              </w:rPr>
              <w:t>*</w:t>
            </w:r>
            <w:r>
              <w:rPr>
                <w:rFonts w:ascii="宋体" w:hAnsi="宋体" w:cs="宋体" w:eastAsia="宋体"/>
                <w:sz w:val="24"/>
              </w:rPr>
              <w:t>预装操作系统</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24"/>
              </w:rPr>
              <w:t>预装符合桌面操作系统政府采购需求标准的正版操作系统</w:t>
            </w:r>
          </w:p>
        </w:tc>
      </w:tr>
      <w:tr>
        <w:tc>
          <w:tcPr>
            <w:tcW w:type="dxa" w:w="114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宋体" w:hAnsi="宋体" w:cs="宋体" w:eastAsia="宋体"/>
                <w:sz w:val="24"/>
              </w:rPr>
              <w:t>其他要求</w:t>
            </w:r>
          </w:p>
          <w:p>
            <w:pPr>
              <w:pStyle w:val="null3"/>
              <w:jc w:val="both"/>
            </w:pPr>
          </w:p>
        </w:tc>
        <w:tc>
          <w:tcPr>
            <w:tcW w:type="dxa" w:w="129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quot;times new roman&quot;" w:hAnsi="&quot;times new roman&quot;" w:cs="&quot;times new roman&quot;" w:eastAsia="&quot;times new roman&quot;"/>
                <w:sz w:val="19"/>
              </w:rPr>
              <w:t xml:space="preserve"> </w:t>
            </w:r>
          </w:p>
        </w:tc>
        <w:tc>
          <w:tcPr>
            <w:tcW w:type="dxa" w:w="564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宋体" w:hAnsi="宋体" w:cs="宋体" w:eastAsia="宋体"/>
                <w:sz w:val="24"/>
              </w:rPr>
              <w:t>参数符合《一体式计算机政府采购需求标准(2023年版)》</w:t>
            </w:r>
          </w:p>
        </w:tc>
      </w:tr>
    </w:tbl>
    <w:p>
      <w:pPr>
        <w:pStyle w:val="null3"/>
      </w:pPr>
      <w:r>
        <w:rPr/>
        <w:t xml:space="preserve"> </w:t>
      </w:r>
    </w:p>
    <w:p>
      <w:pPr>
        <w:pStyle w:val="null3"/>
      </w:pPr>
      <w:r>
        <w:rPr>
          <w:rFonts w:ascii="宋体" w:hAnsi="宋体" w:cs="宋体" w:eastAsia="宋体"/>
          <w:sz w:val="24"/>
          <w:b/>
        </w:rPr>
        <w:t>1-3扫码显示屏</w:t>
      </w:r>
    </w:p>
    <w:p>
      <w:pPr>
        <w:pStyle w:val="null3"/>
        <w:spacing w:before="150"/>
        <w:jc w:val="left"/>
      </w:pPr>
      <w:r>
        <w:rPr>
          <w:rFonts w:ascii="宋体" w:hAnsi="宋体" w:cs="宋体" w:eastAsia="宋体"/>
          <w:sz w:val="24"/>
        </w:rPr>
        <w:t>1、10.1寸≤尺寸≤14寸;</w:t>
      </w:r>
    </w:p>
    <w:p>
      <w:pPr>
        <w:pStyle w:val="null3"/>
        <w:spacing w:before="150"/>
        <w:jc w:val="left"/>
      </w:pPr>
      <w:r>
        <w:rPr>
          <w:rFonts w:ascii="宋体" w:hAnsi="宋体" w:cs="宋体" w:eastAsia="宋体"/>
          <w:sz w:val="24"/>
        </w:rPr>
        <w:t>2、对比度≥600:1;</w:t>
      </w:r>
    </w:p>
    <w:p>
      <w:pPr>
        <w:pStyle w:val="null3"/>
        <w:spacing w:before="195"/>
        <w:ind w:right="60"/>
        <w:jc w:val="left"/>
      </w:pPr>
      <w:r>
        <w:rPr>
          <w:rFonts w:ascii="宋体" w:hAnsi="宋体" w:cs="宋体" w:eastAsia="宋体"/>
          <w:sz w:val="24"/>
        </w:rPr>
        <w:t>3、整机铝合金金属，具有耐高温，防腐蚀，抗压击，精细做工，使用寿命长；</w:t>
      </w:r>
    </w:p>
    <w:p>
      <w:pPr>
        <w:pStyle w:val="null3"/>
        <w:spacing w:before="210"/>
        <w:ind w:right="405"/>
        <w:jc w:val="left"/>
      </w:pPr>
      <w:r>
        <w:rPr>
          <w:rFonts w:ascii="宋体" w:hAnsi="宋体" w:cs="宋体" w:eastAsia="宋体"/>
          <w:sz w:val="24"/>
        </w:rPr>
        <w:t>4、支持windows、安卓系统，支持二次开发；</w:t>
      </w:r>
    </w:p>
    <w:p>
      <w:pPr>
        <w:pStyle w:val="null3"/>
        <w:spacing w:before="210"/>
        <w:ind w:right="405"/>
        <w:jc w:val="left"/>
      </w:pPr>
      <w:r>
        <w:rPr>
          <w:rFonts w:ascii="宋体" w:hAnsi="宋体" w:cs="宋体" w:eastAsia="宋体"/>
          <w:sz w:val="24"/>
        </w:rPr>
        <w:t>5、提供三年质保。</w:t>
      </w:r>
    </w:p>
    <w:p>
      <w:pPr>
        <w:pStyle w:val="null3"/>
        <w:spacing w:before="210"/>
        <w:ind w:right="405"/>
        <w:jc w:val="left"/>
      </w:pPr>
      <w:r>
        <w:rPr>
          <w:rFonts w:ascii="宋体" w:hAnsi="宋体" w:cs="宋体" w:eastAsia="宋体"/>
          <w:sz w:val="24"/>
        </w:rPr>
        <w:t>6、支持VGA、HDMI,分辨率</w:t>
      </w:r>
      <w:r>
        <w:rPr>
          <w:rFonts w:ascii="宋体" w:hAnsi="宋体" w:cs="宋体" w:eastAsia="宋体"/>
          <w:sz w:val="24"/>
        </w:rPr>
        <w:t>≥</w:t>
      </w:r>
      <w:r>
        <w:rPr>
          <w:rFonts w:ascii="宋体" w:hAnsi="宋体" w:cs="宋体" w:eastAsia="宋体"/>
          <w:sz w:val="24"/>
        </w:rPr>
        <w:t>1280*800，可做台式计算机拓展屏使用。</w:t>
      </w:r>
    </w:p>
    <w:p>
      <w:pPr>
        <w:pStyle w:val="null3"/>
        <w:spacing w:before="210"/>
        <w:ind w:right="405"/>
        <w:jc w:val="left"/>
      </w:pPr>
      <w:r>
        <w:rPr>
          <w:rFonts w:ascii="宋体" w:hAnsi="宋体" w:cs="宋体" w:eastAsia="宋体"/>
          <w:sz w:val="24"/>
          <w:b/>
        </w:rPr>
        <w:t>投标要求：</w:t>
      </w:r>
    </w:p>
    <w:p>
      <w:pPr>
        <w:pStyle w:val="null3"/>
        <w:jc w:val="left"/>
      </w:pPr>
      <w:r>
        <w:rPr>
          <w:rFonts w:ascii="宋体" w:hAnsi="宋体" w:cs="宋体" w:eastAsia="宋体"/>
          <w:sz w:val="24"/>
        </w:rPr>
        <w:t>1、供应商投标时须详细标明投标货物的品牌、型号以及对应的详细配置说明(项目中有采购台式计算机设备的，供应商须分别列明台式计算机主机与显示器的品牌、型号)。</w:t>
      </w:r>
    </w:p>
    <w:p>
      <w:pPr>
        <w:pStyle w:val="null3"/>
        <w:jc w:val="left"/>
      </w:pPr>
      <w:r>
        <w:rPr>
          <w:rFonts w:ascii="宋体" w:hAnsi="宋体" w:cs="宋体" w:eastAsia="宋体"/>
          <w:sz w:val="24"/>
        </w:rPr>
        <w:t>2、根据《财政部发展改革委生态环境部市场监管总局关于调整优化节能产品、环境标志产品政府采购执行机制的通知》（财库〔2019〕9号）规定，本项目采购的产品属于政府强制采购节能产品的（节能产品政府采购品目清单中以“★”标注的为政府强制采购产品），须在投标文件技术部分提供所投产品由国家确定的认证机构出具的、处于有效期之内的节能产品认证证书复印件，否则投标无效。</w:t>
      </w:r>
    </w:p>
    <w:p>
      <w:pPr>
        <w:pStyle w:val="null3"/>
        <w:jc w:val="left"/>
      </w:pPr>
      <w:r>
        <w:rPr>
          <w:rFonts w:ascii="宋体" w:hAnsi="宋体" w:cs="宋体" w:eastAsia="宋体"/>
          <w:sz w:val="24"/>
        </w:rPr>
        <w:t>3、供应商应当保证其所提供的产品为符合国家知识产权法律法规要求的正规正版产品，且上述产品不属于假冒伪劣商品；供应商还应保证采购单位不受到第三方关于侵犯知识产权以及专利权、商标权或工业设计权等知识产权方面的指控，任何第三方如果提出此方面指控均与采购单位无关，供应商应与第三方交涉，并承担可能发生的一切法律责任、费用和后果；若采购单位因此而遭致损失的，供应商应赔偿该损失。</w:t>
      </w:r>
    </w:p>
    <w:p>
      <w:pPr>
        <w:pStyle w:val="null3"/>
        <w:jc w:val="left"/>
      </w:pPr>
      <w:r>
        <w:rPr>
          <w:rFonts w:ascii="宋体" w:hAnsi="宋体" w:cs="宋体" w:eastAsia="宋体"/>
          <w:sz w:val="24"/>
        </w:rPr>
        <w:t>4、供应商应当遵循诚实守信的原则，不得作出虚假承诺，承诺不实的，属于提供虚假材料谋取中标、成交，依法追究相关的法律责任。</w:t>
      </w:r>
    </w:p>
    <w:p>
      <w:pPr>
        <w:pStyle w:val="null3"/>
        <w:jc w:val="both"/>
      </w:pPr>
      <w:r>
        <w:rPr>
          <w:rFonts w:ascii="宋体" w:hAnsi="宋体" w:cs="宋体" w:eastAsia="宋体"/>
          <w:sz w:val="24"/>
        </w:rPr>
        <w:t>5、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both"/>
        <w:outlineLvl w:val="2"/>
      </w:pPr>
      <w:r>
        <w:rPr>
          <w:sz w:val="28"/>
          <w:b/>
        </w:rPr>
        <w:t>三、商务要求（以“★”标示的内容为不允许负偏离的实质性要求）</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t>序号</w:t>
            </w:r>
          </w:p>
        </w:tc>
        <w:tc>
          <w:tcPr>
            <w:tcW w:type="dxa" w:w="2076"/>
          </w:tcPr>
          <w:p>
            <w:pPr>
              <w:pStyle w:val="null3"/>
              <w:jc w:val="both"/>
            </w:pPr>
            <w:r>
              <w:rPr/>
              <w:t>参数性质</w:t>
            </w:r>
          </w:p>
        </w:tc>
        <w:tc>
          <w:tcPr>
            <w:tcW w:type="dxa" w:w="2076"/>
          </w:tcPr>
          <w:p>
            <w:pPr>
              <w:pStyle w:val="null3"/>
              <w:jc w:val="both"/>
            </w:pPr>
            <w:r>
              <w:rPr/>
              <w:t>类型</w:t>
            </w:r>
          </w:p>
        </w:tc>
        <w:tc>
          <w:tcPr>
            <w:tcW w:type="dxa" w:w="2076"/>
          </w:tcPr>
          <w:p>
            <w:pPr>
              <w:pStyle w:val="null3"/>
              <w:jc w:val="both"/>
            </w:pPr>
            <w:r>
              <w:rPr/>
              <w:t>要求</w:t>
            </w:r>
          </w:p>
        </w:tc>
      </w:tr>
      <w:tr>
        <w:tc>
          <w:tcPr>
            <w:tcW w:type="dxa" w:w="2076"/>
          </w:tcPr>
          <w:p>
            <w:pPr>
              <w:pStyle w:val="null3"/>
              <w:jc w:val="both"/>
            </w:pPr>
            <w:r>
              <w:rPr/>
              <w:t>1</w:t>
            </w:r>
          </w:p>
        </w:tc>
        <w:tc>
          <w:tcPr>
            <w:tcW w:type="dxa" w:w="2076"/>
          </w:tcPr>
          <w:p>
            <w:pPr>
              <w:pStyle w:val="null3"/>
              <w:jc w:val="both"/>
            </w:pPr>
            <w:r>
              <w:rPr/>
              <w:t>★</w:t>
            </w:r>
          </w:p>
        </w:tc>
        <w:tc>
          <w:tcPr>
            <w:tcW w:type="dxa" w:w="2076"/>
          </w:tcPr>
          <w:p>
            <w:pPr>
              <w:pStyle w:val="null3"/>
              <w:jc w:val="both"/>
            </w:pPr>
            <w:r>
              <w:rPr/>
              <w:t>交货时间</w:t>
            </w:r>
          </w:p>
        </w:tc>
        <w:tc>
          <w:tcPr>
            <w:tcW w:type="dxa" w:w="2076"/>
          </w:tcPr>
          <w:p>
            <w:pPr>
              <w:pStyle w:val="null3"/>
              <w:jc w:val="both"/>
            </w:pPr>
            <w:r>
              <w:rPr/>
              <w:t>自合同签订之日起30日</w:t>
            </w:r>
          </w:p>
        </w:tc>
      </w:tr>
      <w:tr>
        <w:tc>
          <w:tcPr>
            <w:tcW w:type="dxa" w:w="2076"/>
          </w:tcPr>
          <w:p>
            <w:pPr>
              <w:pStyle w:val="null3"/>
              <w:jc w:val="both"/>
            </w:pPr>
            <w:r>
              <w:rPr/>
              <w:t>2</w:t>
            </w:r>
          </w:p>
        </w:tc>
        <w:tc>
          <w:tcPr>
            <w:tcW w:type="dxa" w:w="2076"/>
          </w:tcPr>
          <w:p>
            <w:pPr>
              <w:pStyle w:val="null3"/>
              <w:jc w:val="both"/>
            </w:pPr>
            <w:r>
              <w:rPr/>
              <w:t>★</w:t>
            </w:r>
          </w:p>
        </w:tc>
        <w:tc>
          <w:tcPr>
            <w:tcW w:type="dxa" w:w="2076"/>
          </w:tcPr>
          <w:p>
            <w:pPr>
              <w:pStyle w:val="null3"/>
              <w:jc w:val="both"/>
            </w:pPr>
            <w:r>
              <w:rPr/>
              <w:t>交货地点</w:t>
            </w:r>
          </w:p>
        </w:tc>
        <w:tc>
          <w:tcPr>
            <w:tcW w:type="dxa" w:w="2076"/>
          </w:tcPr>
          <w:p>
            <w:pPr>
              <w:pStyle w:val="null3"/>
              <w:jc w:val="both"/>
            </w:pPr>
            <w:r>
              <w:rPr/>
              <w:t>福建省福州市仓山区城门镇泰禾福州院子东侧福州市第一总医院皮肤病防治院</w:t>
            </w:r>
          </w:p>
        </w:tc>
      </w:tr>
      <w:tr>
        <w:tc>
          <w:tcPr>
            <w:tcW w:type="dxa" w:w="2076"/>
          </w:tcPr>
          <w:p>
            <w:pPr>
              <w:pStyle w:val="null3"/>
              <w:jc w:val="both"/>
            </w:pPr>
            <w:r>
              <w:rPr/>
              <w:t>3</w:t>
            </w:r>
          </w:p>
        </w:tc>
        <w:tc>
          <w:tcPr>
            <w:tcW w:type="dxa" w:w="2076"/>
          </w:tcPr>
          <w:p>
            <w:pPr>
              <w:pStyle w:val="null3"/>
              <w:jc w:val="both"/>
            </w:pPr>
            <w:r>
              <w:rPr/>
              <w:t>★</w:t>
            </w:r>
          </w:p>
        </w:tc>
        <w:tc>
          <w:tcPr>
            <w:tcW w:type="dxa" w:w="2076"/>
          </w:tcPr>
          <w:p>
            <w:pPr>
              <w:pStyle w:val="null3"/>
              <w:jc w:val="both"/>
            </w:pPr>
            <w:r>
              <w:rPr/>
              <w:t>交货条件</w:t>
            </w:r>
          </w:p>
        </w:tc>
        <w:tc>
          <w:tcPr>
            <w:tcW w:type="dxa" w:w="2076"/>
          </w:tcPr>
          <w:p>
            <w:pPr>
              <w:pStyle w:val="null3"/>
              <w:jc w:val="both"/>
            </w:pPr>
            <w:r>
              <w:rPr/>
              <w:t>符合采购文件、投标文件、合同等文件要求。</w:t>
            </w:r>
          </w:p>
        </w:tc>
      </w:tr>
      <w:tr>
        <w:tc>
          <w:tcPr>
            <w:tcW w:type="dxa" w:w="2076"/>
          </w:tcPr>
          <w:p>
            <w:pPr>
              <w:pStyle w:val="null3"/>
              <w:jc w:val="both"/>
            </w:pPr>
            <w:r>
              <w:rPr/>
              <w:t>4</w:t>
            </w:r>
          </w:p>
        </w:tc>
        <w:tc>
          <w:tcPr>
            <w:tcW w:type="dxa" w:w="2076"/>
          </w:tcPr>
          <w:p>
            <w:pPr>
              <w:pStyle w:val="null3"/>
              <w:jc w:val="both"/>
            </w:pPr>
            <w:r>
              <w:rPr/>
              <w:t>★</w:t>
            </w:r>
          </w:p>
        </w:tc>
        <w:tc>
          <w:tcPr>
            <w:tcW w:type="dxa" w:w="2076"/>
          </w:tcPr>
          <w:p>
            <w:pPr>
              <w:pStyle w:val="null3"/>
              <w:jc w:val="both"/>
            </w:pPr>
            <w:r>
              <w:rPr/>
              <w:t>是否邀请投标人验收</w:t>
            </w:r>
          </w:p>
        </w:tc>
        <w:tc>
          <w:tcPr>
            <w:tcW w:type="dxa" w:w="2076"/>
          </w:tcPr>
          <w:p>
            <w:pPr>
              <w:pStyle w:val="null3"/>
              <w:jc w:val="both"/>
            </w:pPr>
            <w:r>
              <w:rPr/>
              <w:t>不邀请投标人验收</w:t>
            </w:r>
          </w:p>
        </w:tc>
      </w:tr>
      <w:tr>
        <w:tc>
          <w:tcPr>
            <w:tcW w:type="dxa" w:w="2076"/>
          </w:tcPr>
          <w:p>
            <w:pPr>
              <w:pStyle w:val="null3"/>
              <w:jc w:val="both"/>
            </w:pPr>
            <w:r>
              <w:rPr/>
              <w:t>5</w:t>
            </w:r>
          </w:p>
        </w:tc>
        <w:tc>
          <w:tcPr>
            <w:tcW w:type="dxa" w:w="2076"/>
          </w:tcPr>
          <w:p>
            <w:pPr>
              <w:pStyle w:val="null3"/>
              <w:jc w:val="both"/>
            </w:pPr>
            <w:r>
              <w:rPr/>
              <w:t>★</w:t>
            </w:r>
          </w:p>
        </w:tc>
        <w:tc>
          <w:tcPr>
            <w:tcW w:type="dxa" w:w="2076"/>
          </w:tcPr>
          <w:p>
            <w:pPr>
              <w:pStyle w:val="null3"/>
              <w:jc w:val="both"/>
            </w:pPr>
            <w:r>
              <w:rPr/>
              <w:t>履约验收方式</w:t>
            </w:r>
          </w:p>
        </w:tc>
        <w:tc>
          <w:tcPr>
            <w:tcW w:type="dxa" w:w="2076"/>
          </w:tcPr>
          <w:p>
            <w:pPr>
              <w:pStyle w:val="null3"/>
              <w:jc w:val="both"/>
            </w:pPr>
            <w:r>
              <w:rPr/>
              <w:t>1、期次1，说明：按照采购文件、合同的规定执行。</w:t>
            </w:r>
          </w:p>
        </w:tc>
      </w:tr>
      <w:tr>
        <w:tc>
          <w:tcPr>
            <w:tcW w:type="dxa" w:w="2076"/>
          </w:tcPr>
          <w:p>
            <w:pPr>
              <w:pStyle w:val="null3"/>
              <w:jc w:val="both"/>
            </w:pPr>
            <w:r>
              <w:rPr/>
              <w:t>6</w:t>
            </w:r>
          </w:p>
        </w:tc>
        <w:tc>
          <w:tcPr>
            <w:tcW w:type="dxa" w:w="2076"/>
          </w:tcPr>
          <w:p>
            <w:pPr>
              <w:pStyle w:val="null3"/>
              <w:jc w:val="both"/>
            </w:pPr>
            <w:r>
              <w:rPr/>
              <w:t>★</w:t>
            </w:r>
          </w:p>
        </w:tc>
        <w:tc>
          <w:tcPr>
            <w:tcW w:type="dxa" w:w="2076"/>
          </w:tcPr>
          <w:p>
            <w:pPr>
              <w:pStyle w:val="null3"/>
              <w:jc w:val="both"/>
            </w:pPr>
            <w:r>
              <w:rPr/>
              <w:t>合同支付方式</w:t>
            </w:r>
          </w:p>
        </w:tc>
        <w:tc>
          <w:tcPr>
            <w:tcW w:type="dxa" w:w="2076"/>
          </w:tcPr>
          <w:p>
            <w:pPr>
              <w:pStyle w:val="null3"/>
              <w:jc w:val="both"/>
            </w:pPr>
            <w:r>
              <w:rPr/>
              <w:t>1、自项目货物验收合格并提供项目全额含税发票，达到付款条件起10日内，支付合同总金额的100.00%</w:t>
            </w:r>
          </w:p>
        </w:tc>
      </w:tr>
      <w:tr>
        <w:tc>
          <w:tcPr>
            <w:tcW w:type="dxa" w:w="2076"/>
          </w:tcPr>
          <w:p>
            <w:pPr>
              <w:pStyle w:val="null3"/>
              <w:jc w:val="both"/>
            </w:pPr>
            <w:r>
              <w:rPr/>
              <w:t>7</w:t>
            </w:r>
          </w:p>
        </w:tc>
        <w:tc>
          <w:tcPr>
            <w:tcW w:type="dxa" w:w="2076"/>
          </w:tcPr>
          <w:p>
            <w:pPr>
              <w:pStyle w:val="null3"/>
              <w:jc w:val="both"/>
            </w:pPr>
            <w:r>
              <w:rPr/>
              <w:t>★</w:t>
            </w:r>
          </w:p>
        </w:tc>
        <w:tc>
          <w:tcPr>
            <w:tcW w:type="dxa" w:w="2076"/>
          </w:tcPr>
          <w:p>
            <w:pPr>
              <w:pStyle w:val="null3"/>
              <w:jc w:val="both"/>
            </w:pPr>
            <w:r>
              <w:rPr/>
              <w:t>履约保证金</w:t>
            </w:r>
          </w:p>
        </w:tc>
        <w:tc>
          <w:tcPr>
            <w:tcW w:type="dxa" w:w="2076"/>
          </w:tcPr>
          <w:p>
            <w:pPr>
              <w:pStyle w:val="null3"/>
              <w:jc w:val="both"/>
            </w:pPr>
            <w:r>
              <w:rPr/>
              <w:t>不缴纳</w:t>
            </w:r>
          </w:p>
        </w:tc>
      </w:tr>
      <w:tr>
        <w:tc>
          <w:tcPr>
            <w:tcW w:type="dxa" w:w="2076"/>
          </w:tcPr>
          <w:p>
            <w:pPr>
              <w:pStyle w:val="null3"/>
              <w:jc w:val="both"/>
            </w:pPr>
            <w:r>
              <w:rPr/>
              <w:t>8</w:t>
            </w:r>
          </w:p>
        </w:tc>
        <w:tc>
          <w:tcPr>
            <w:tcW w:type="dxa" w:w="2076"/>
          </w:tcPr>
          <w:p>
            <w:pPr>
              <w:pStyle w:val="null3"/>
              <w:jc w:val="both"/>
            </w:pPr>
            <w:r>
              <w:rPr/>
              <w:t>★</w:t>
            </w:r>
          </w:p>
        </w:tc>
        <w:tc>
          <w:tcPr>
            <w:tcW w:type="dxa" w:w="2076"/>
          </w:tcPr>
          <w:p>
            <w:pPr>
              <w:pStyle w:val="null3"/>
              <w:jc w:val="both"/>
            </w:pPr>
            <w:r>
              <w:rPr/>
              <w:t>其他</w:t>
            </w:r>
          </w:p>
        </w:tc>
        <w:tc>
          <w:tcPr>
            <w:tcW w:type="dxa" w:w="2076"/>
          </w:tcPr>
          <w:p>
            <w:pPr>
              <w:pStyle w:val="null3"/>
              <w:jc w:val="both"/>
            </w:pPr>
            <w:r>
              <w:rPr/>
              <w:t>合同支付方式中的10日为10个工作日。</w:t>
            </w:r>
          </w:p>
        </w:tc>
      </w:tr>
    </w:tbl>
    <w:p>
      <w:pPr>
        <w:pStyle w:val="null3"/>
        <w:jc w:val="left"/>
      </w:pPr>
      <w:r>
        <w:rPr/>
        <w:t>其他商务要求</w:t>
      </w:r>
    </w:p>
    <w:p>
      <w:pPr>
        <w:pStyle w:val="null3"/>
        <w:ind w:firstLine="480"/>
        <w:jc w:val="left"/>
      </w:pPr>
      <w:r>
        <w:rPr>
          <w:rFonts w:ascii="宋体" w:hAnsi="宋体" w:cs="宋体" w:eastAsia="宋体"/>
          <w:sz w:val="24"/>
        </w:rPr>
        <w:t>★9、验收方案</w:t>
      </w:r>
    </w:p>
    <w:p>
      <w:pPr>
        <w:pStyle w:val="null3"/>
        <w:ind w:firstLine="480"/>
        <w:jc w:val="left"/>
      </w:pPr>
      <w:r>
        <w:rPr>
          <w:rFonts w:ascii="宋体" w:hAnsi="宋体" w:cs="宋体" w:eastAsia="宋体"/>
          <w:sz w:val="24"/>
        </w:rPr>
        <w:t>（</w:t>
      </w:r>
      <w:r>
        <w:rPr>
          <w:rFonts w:ascii="宋体" w:hAnsi="宋体" w:cs="宋体" w:eastAsia="宋体"/>
          <w:sz w:val="24"/>
        </w:rPr>
        <w:t>1）履约验收主体</w:t>
      </w:r>
    </w:p>
    <w:p>
      <w:pPr>
        <w:pStyle w:val="null3"/>
        <w:ind w:firstLine="480"/>
        <w:jc w:val="left"/>
      </w:pPr>
      <w:r>
        <w:rPr>
          <w:rFonts w:ascii="宋体" w:hAnsi="宋体" w:cs="宋体" w:eastAsia="宋体"/>
          <w:sz w:val="24"/>
        </w:rPr>
        <w:t>福州市皮肤病防治院</w:t>
      </w:r>
      <w:r>
        <w:rPr/>
        <w:t xml:space="preserve">              </w:t>
      </w:r>
    </w:p>
    <w:p>
      <w:pPr>
        <w:pStyle w:val="null3"/>
        <w:ind w:firstLine="480"/>
        <w:jc w:val="left"/>
      </w:pPr>
      <w:r>
        <w:rPr>
          <w:rFonts w:ascii="宋体" w:hAnsi="宋体" w:cs="宋体" w:eastAsia="宋体"/>
          <w:sz w:val="24"/>
        </w:rPr>
        <w:t>（</w:t>
      </w:r>
      <w:r>
        <w:rPr>
          <w:rFonts w:ascii="宋体" w:hAnsi="宋体" w:cs="宋体" w:eastAsia="宋体"/>
          <w:sz w:val="24"/>
        </w:rPr>
        <w:t>2）履约验收时间</w:t>
      </w:r>
    </w:p>
    <w:p>
      <w:pPr>
        <w:pStyle w:val="null3"/>
        <w:ind w:firstLine="480"/>
        <w:jc w:val="left"/>
      </w:pPr>
      <w:r>
        <w:rPr>
          <w:rFonts w:ascii="宋体" w:hAnsi="宋体" w:cs="宋体" w:eastAsia="宋体"/>
          <w:sz w:val="24"/>
        </w:rPr>
        <w:t>全部到货后的</w:t>
      </w:r>
      <w:r>
        <w:rPr>
          <w:rFonts w:ascii="宋体" w:hAnsi="宋体" w:cs="宋体" w:eastAsia="宋体"/>
          <w:sz w:val="24"/>
        </w:rPr>
        <w:t>10个工作日内组织验收</w:t>
      </w:r>
      <w:r>
        <w:rPr/>
        <w:t xml:space="preserve">     </w:t>
      </w:r>
    </w:p>
    <w:p>
      <w:pPr>
        <w:pStyle w:val="null3"/>
        <w:ind w:firstLine="480"/>
        <w:jc w:val="left"/>
      </w:pPr>
      <w:r>
        <w:rPr>
          <w:rFonts w:ascii="宋体" w:hAnsi="宋体" w:cs="宋体" w:eastAsia="宋体"/>
          <w:sz w:val="24"/>
        </w:rPr>
        <w:t>（</w:t>
      </w:r>
      <w:r>
        <w:rPr>
          <w:rFonts w:ascii="宋体" w:hAnsi="宋体" w:cs="宋体" w:eastAsia="宋体"/>
          <w:sz w:val="24"/>
        </w:rPr>
        <w:t>3）履约验收方式</w:t>
      </w:r>
    </w:p>
    <w:p>
      <w:pPr>
        <w:pStyle w:val="null3"/>
        <w:ind w:firstLine="480"/>
        <w:jc w:val="left"/>
      </w:pPr>
      <w:r>
        <w:rPr>
          <w:rFonts w:ascii="宋体" w:hAnsi="宋体" w:cs="宋体" w:eastAsia="宋体"/>
          <w:sz w:val="24"/>
        </w:rPr>
        <w:t>现场验收</w:t>
      </w:r>
      <w:r>
        <w:rPr/>
        <w:t xml:space="preserve">            </w:t>
      </w:r>
    </w:p>
    <w:p>
      <w:pPr>
        <w:pStyle w:val="null3"/>
        <w:ind w:firstLine="480"/>
        <w:jc w:val="left"/>
      </w:pPr>
      <w:r>
        <w:rPr>
          <w:rFonts w:ascii="宋体" w:hAnsi="宋体" w:cs="宋体" w:eastAsia="宋体"/>
          <w:sz w:val="24"/>
        </w:rPr>
        <w:t>（</w:t>
      </w:r>
      <w:r>
        <w:rPr>
          <w:rFonts w:ascii="宋体" w:hAnsi="宋体" w:cs="宋体" w:eastAsia="宋体"/>
          <w:sz w:val="24"/>
        </w:rPr>
        <w:t>4）履约验收程序</w:t>
      </w:r>
    </w:p>
    <w:p>
      <w:pPr>
        <w:pStyle w:val="null3"/>
        <w:ind w:firstLine="480"/>
        <w:jc w:val="left"/>
      </w:pPr>
      <w:r>
        <w:rPr>
          <w:rFonts w:ascii="宋体" w:hAnsi="宋体" w:cs="宋体" w:eastAsia="宋体"/>
          <w:sz w:val="24"/>
        </w:rPr>
        <w:t>货物验收分中标人出厂检验、安装调试检验及最终验收三个阶段。</w:t>
      </w:r>
    </w:p>
    <w:p>
      <w:pPr>
        <w:pStyle w:val="null3"/>
        <w:ind w:firstLine="480"/>
        <w:jc w:val="left"/>
      </w:pPr>
      <w:r>
        <w:rPr>
          <w:rFonts w:ascii="宋体" w:hAnsi="宋体" w:cs="宋体" w:eastAsia="宋体"/>
          <w:sz w:val="24"/>
        </w:rPr>
        <w:t>a.出厂检验：中标人在货物出厂前，应按产品技术标准规定的检验项目和试验方法进行全面检验，中标人应随同货物提供出厂检验报告或产品质量合格证。</w:t>
      </w:r>
    </w:p>
    <w:p>
      <w:pPr>
        <w:pStyle w:val="null3"/>
        <w:ind w:firstLine="480"/>
        <w:jc w:val="left"/>
      </w:pPr>
      <w:r>
        <w:rPr>
          <w:rFonts w:ascii="宋体" w:hAnsi="宋体" w:cs="宋体" w:eastAsia="宋体"/>
          <w:sz w:val="24"/>
        </w:rPr>
        <w:t>b.安装调试检验：设备安装、调试过程，中标人应作详细检验记录。安装调试检验结果应符合制造厂产品标准和招标文件规定。检验记录应真实并提供给采购人。</w:t>
      </w:r>
    </w:p>
    <w:p>
      <w:pPr>
        <w:pStyle w:val="null3"/>
        <w:ind w:firstLine="480"/>
        <w:jc w:val="left"/>
      </w:pPr>
      <w:r>
        <w:rPr>
          <w:rFonts w:ascii="宋体" w:hAnsi="宋体" w:cs="宋体" w:eastAsia="宋体"/>
          <w:sz w:val="24"/>
        </w:rPr>
        <w:t>c.最终验收：设备安装调试结束后，由中标人负责并会同采购人及有关部门按规定的验收标准要求进行最终验收，验收结果应符合采购人使用要求。在此期间，若发现产品质量问题中标人应无条件免费更换，并无条件重新检测且调试直至验收合格交付使用。</w:t>
      </w:r>
    </w:p>
    <w:p>
      <w:pPr>
        <w:pStyle w:val="null3"/>
        <w:ind w:firstLine="480"/>
        <w:jc w:val="left"/>
      </w:pPr>
      <w:r>
        <w:rPr>
          <w:rFonts w:ascii="宋体" w:hAnsi="宋体" w:cs="宋体" w:eastAsia="宋体"/>
          <w:sz w:val="24"/>
        </w:rPr>
        <w:t>（</w:t>
      </w:r>
      <w:r>
        <w:rPr>
          <w:rFonts w:ascii="宋体" w:hAnsi="宋体" w:cs="宋体" w:eastAsia="宋体"/>
          <w:sz w:val="24"/>
        </w:rPr>
        <w:t>5）履约验收内容</w:t>
      </w:r>
    </w:p>
    <w:p>
      <w:pPr>
        <w:pStyle w:val="null3"/>
        <w:ind w:firstLine="480"/>
        <w:jc w:val="left"/>
      </w:pPr>
      <w:r>
        <w:rPr>
          <w:rFonts w:ascii="宋体" w:hAnsi="宋体" w:cs="宋体" w:eastAsia="宋体"/>
          <w:sz w:val="24"/>
        </w:rPr>
        <w:t>验收内容主要对货物的各项技术指标和功能进行全部的核查。验收时成交供应商必须派代表参加。验收过程所发生的一切费用由成交人承担</w:t>
      </w:r>
    </w:p>
    <w:p>
      <w:pPr>
        <w:pStyle w:val="null3"/>
        <w:ind w:firstLine="480"/>
        <w:jc w:val="left"/>
      </w:pPr>
      <w:r>
        <w:rPr>
          <w:rFonts w:ascii="宋体" w:hAnsi="宋体" w:cs="宋体" w:eastAsia="宋体"/>
          <w:sz w:val="24"/>
        </w:rPr>
        <w:t>（</w:t>
      </w:r>
      <w:r>
        <w:rPr>
          <w:rFonts w:ascii="宋体" w:hAnsi="宋体" w:cs="宋体" w:eastAsia="宋体"/>
          <w:sz w:val="24"/>
        </w:rPr>
        <w:t>6）履约验收验收标准</w:t>
      </w:r>
    </w:p>
    <w:p>
      <w:pPr>
        <w:pStyle w:val="null3"/>
        <w:ind w:firstLine="480"/>
        <w:jc w:val="left"/>
      </w:pPr>
      <w:r>
        <w:rPr>
          <w:rFonts w:ascii="宋体" w:hAnsi="宋体" w:cs="宋体" w:eastAsia="宋体"/>
          <w:sz w:val="24"/>
        </w:rPr>
        <w:t>采购文件、响应文件、厂家技术标准说明及国家有关的质量标准规定，均为验收标准，采购人有权委托我国相关具有检验资质的部门、单位、机构针对采购标的的技术指标、性能进行检验。其检验结果将作为验收标准的组成部分之一。中标方与采购人按国家或行业验收标准、招标文件及合同相关条款要求一同对货物进行验收。</w:t>
      </w:r>
    </w:p>
    <w:p>
      <w:pPr>
        <w:pStyle w:val="null3"/>
        <w:ind w:firstLine="480"/>
        <w:jc w:val="left"/>
      </w:pPr>
      <w:r>
        <w:rPr>
          <w:rFonts w:ascii="宋体" w:hAnsi="宋体" w:cs="宋体" w:eastAsia="宋体"/>
          <w:sz w:val="24"/>
        </w:rPr>
        <w:t>★10、安装要求</w:t>
      </w:r>
    </w:p>
    <w:p>
      <w:pPr>
        <w:pStyle w:val="null3"/>
        <w:ind w:firstLine="420"/>
        <w:jc w:val="both"/>
      </w:pPr>
      <w:r>
        <w:rPr>
          <w:rFonts w:ascii="宋体" w:hAnsi="宋体" w:cs="宋体" w:eastAsia="宋体"/>
          <w:sz w:val="24"/>
        </w:rPr>
        <w:t>要求上门安装调试，根据院方需求分发到各个工作站，同时正常对接并安装各工作站的外接设备与应用系统。如遇老旧台式计算机替换，应根据临床要求备份数据，并导入新台式计算机中。</w:t>
      </w:r>
    </w:p>
    <w:p>
      <w:pPr>
        <w:pStyle w:val="null3"/>
        <w:ind w:firstLine="480"/>
        <w:jc w:val="left"/>
      </w:pPr>
      <w:r>
        <w:rPr>
          <w:rFonts w:ascii="宋体" w:hAnsi="宋体" w:cs="宋体" w:eastAsia="宋体"/>
          <w:sz w:val="24"/>
        </w:rPr>
        <w:t>★11、质保期和售后服务要求</w:t>
      </w:r>
    </w:p>
    <w:p>
      <w:pPr>
        <w:pStyle w:val="null3"/>
        <w:ind w:firstLine="480"/>
        <w:jc w:val="left"/>
      </w:pPr>
      <w:r>
        <w:rPr>
          <w:rFonts w:ascii="宋体" w:hAnsi="宋体" w:cs="宋体" w:eastAsia="宋体"/>
          <w:sz w:val="24"/>
        </w:rPr>
        <w:t>1.</w:t>
      </w:r>
      <w:r>
        <w:rPr>
          <w:rFonts w:ascii="宋体" w:hAnsi="宋体" w:cs="宋体" w:eastAsia="宋体"/>
          <w:sz w:val="24"/>
        </w:rPr>
        <w:t>供应商</w:t>
      </w:r>
      <w:r>
        <w:rPr>
          <w:rFonts w:ascii="宋体" w:hAnsi="宋体" w:cs="宋体" w:eastAsia="宋体"/>
          <w:sz w:val="24"/>
        </w:rPr>
        <w:t>应对所供产品提供至少</w:t>
      </w:r>
      <w:r>
        <w:rPr>
          <w:rFonts w:ascii="宋体" w:hAnsi="宋体" w:cs="宋体" w:eastAsia="宋体"/>
          <w:sz w:val="24"/>
          <w:b/>
        </w:rPr>
        <w:t>五年</w:t>
      </w:r>
      <w:r>
        <w:rPr>
          <w:rFonts w:ascii="宋体" w:hAnsi="宋体" w:cs="宋体" w:eastAsia="宋体"/>
          <w:sz w:val="24"/>
        </w:rPr>
        <w:t>的（现场）免费保修，技术参数有要求的以技术参数的为准，免费质保期自货物签收合格之日起计算。质保期内，须按合同条款提供免费服务，产品验收后非因操作不当造成要更换的零配件及设备由</w:t>
      </w:r>
      <w:r>
        <w:rPr>
          <w:rFonts w:ascii="宋体" w:hAnsi="宋体" w:cs="宋体" w:eastAsia="宋体"/>
          <w:sz w:val="24"/>
        </w:rPr>
        <w:t>供应商</w:t>
      </w:r>
      <w:r>
        <w:rPr>
          <w:rFonts w:ascii="宋体" w:hAnsi="宋体" w:cs="宋体" w:eastAsia="宋体"/>
          <w:sz w:val="24"/>
        </w:rPr>
        <w:t>负责包修、包换。且不回收故障件。</w:t>
      </w:r>
    </w:p>
    <w:p>
      <w:pPr>
        <w:pStyle w:val="null3"/>
        <w:ind w:firstLine="480"/>
        <w:jc w:val="left"/>
      </w:pPr>
      <w:r>
        <w:rPr>
          <w:rFonts w:ascii="宋体" w:hAnsi="宋体" w:cs="宋体" w:eastAsia="宋体"/>
          <w:sz w:val="24"/>
        </w:rPr>
        <w:t>2.在质量保证期内的产品运行发生故障时</w:t>
      </w:r>
      <w:r>
        <w:rPr>
          <w:rFonts w:ascii="宋体" w:hAnsi="宋体" w:cs="宋体" w:eastAsia="宋体"/>
          <w:sz w:val="24"/>
        </w:rPr>
        <w:t>供应商</w:t>
      </w:r>
      <w:r>
        <w:rPr>
          <w:rFonts w:ascii="宋体" w:hAnsi="宋体" w:cs="宋体" w:eastAsia="宋体"/>
          <w:sz w:val="24"/>
        </w:rPr>
        <w:t>在接到采购人故障通知后</w:t>
      </w:r>
      <w:r>
        <w:rPr>
          <w:rFonts w:ascii="宋体" w:hAnsi="宋体" w:cs="宋体" w:eastAsia="宋体"/>
          <w:sz w:val="24"/>
        </w:rPr>
        <w:t>4小时内应派遣工程师到达故障现场进行免费维修，每周7天。如属硬件故障原因而且在到达故障现场24小时内无法排除故障的，由</w:t>
      </w:r>
      <w:r>
        <w:rPr>
          <w:rFonts w:ascii="宋体" w:hAnsi="宋体" w:cs="宋体" w:eastAsia="宋体"/>
          <w:sz w:val="24"/>
        </w:rPr>
        <w:t>供应商</w:t>
      </w:r>
      <w:r>
        <w:rPr>
          <w:rFonts w:ascii="宋体" w:hAnsi="宋体" w:cs="宋体" w:eastAsia="宋体"/>
          <w:sz w:val="24"/>
        </w:rPr>
        <w:t>与使用单位协商</w:t>
      </w:r>
      <w:r>
        <w:rPr>
          <w:rFonts w:ascii="宋体" w:hAnsi="宋体" w:cs="宋体" w:eastAsia="宋体"/>
          <w:sz w:val="24"/>
        </w:rPr>
        <w:t>,并经使用单位同意后在双方约定的时间内完成系统的修复或更换以保证采购人产品的正常运行。</w:t>
      </w:r>
    </w:p>
    <w:p>
      <w:pPr>
        <w:pStyle w:val="null3"/>
        <w:ind w:firstLine="480"/>
        <w:jc w:val="left"/>
      </w:pPr>
      <w:r>
        <w:rPr>
          <w:rFonts w:ascii="宋体" w:hAnsi="宋体" w:cs="宋体" w:eastAsia="宋体"/>
          <w:sz w:val="24"/>
        </w:rPr>
        <w:t>3.质保期结束后，中标方仍应对产品提供终身维修服务，中标方有责任自行维护或指定有能力的代理人对产品在必要的时候进行定期维护和修理，更换配件时只能收配件成本费。</w:t>
      </w:r>
    </w:p>
    <w:p>
      <w:pPr>
        <w:pStyle w:val="null3"/>
        <w:ind w:firstLine="480"/>
        <w:jc w:val="left"/>
      </w:pPr>
      <w:r>
        <w:rPr>
          <w:rFonts w:ascii="宋体" w:hAnsi="宋体" w:cs="宋体" w:eastAsia="宋体"/>
          <w:sz w:val="24"/>
        </w:rPr>
        <w:t>4.供应商提供电话、电子邮件、远程连接、上门服务多种形式服务；建立全国技术服务体系和服务团体，符合专业服务体系标准要求，提供原厂中文服务；服务周期内提供产品的维修、换件和升级服务。</w:t>
      </w:r>
    </w:p>
    <w:p>
      <w:pPr>
        <w:pStyle w:val="null3"/>
        <w:ind w:firstLine="480"/>
        <w:jc w:val="left"/>
      </w:pPr>
      <w:r>
        <w:rPr>
          <w:rFonts w:ascii="宋体" w:hAnsi="宋体" w:cs="宋体" w:eastAsia="宋体"/>
          <w:sz w:val="24"/>
        </w:rPr>
        <w:t>5.</w:t>
      </w:r>
      <w:r>
        <w:rPr>
          <w:rFonts w:ascii="宋体" w:hAnsi="宋体" w:cs="宋体" w:eastAsia="宋体"/>
          <w:sz w:val="24"/>
        </w:rPr>
        <w:t>供应商</w:t>
      </w:r>
      <w:r>
        <w:rPr>
          <w:rFonts w:ascii="宋体" w:hAnsi="宋体" w:cs="宋体" w:eastAsia="宋体"/>
          <w:sz w:val="24"/>
        </w:rPr>
        <w:t>提供</w:t>
      </w:r>
      <w:r>
        <w:rPr>
          <w:rFonts w:ascii="宋体" w:hAnsi="宋体" w:cs="宋体" w:eastAsia="宋体"/>
          <w:sz w:val="24"/>
        </w:rPr>
        <w:t>6年的备件服务能力（自购买之日起），或提供可兼容原设备的升级换代产品，设备停产后应继续提供质量保障服务（含备品备件），服务终止时间与最后一批设备交付时间间隔≥6 年；产品停止服务时间应提前 1 年告知；应明确产品发布日期。</w:t>
      </w:r>
    </w:p>
    <w:p>
      <w:pPr>
        <w:pStyle w:val="null3"/>
        <w:ind w:firstLine="480"/>
        <w:jc w:val="left"/>
      </w:pPr>
      <w:r>
        <w:rPr>
          <w:rFonts w:ascii="宋体" w:hAnsi="宋体" w:cs="宋体" w:eastAsia="宋体"/>
          <w:sz w:val="24"/>
        </w:rPr>
        <w:t>6.</w:t>
      </w:r>
      <w:r>
        <w:rPr>
          <w:rFonts w:ascii="宋体" w:hAnsi="宋体" w:cs="宋体" w:eastAsia="宋体"/>
          <w:sz w:val="24"/>
        </w:rPr>
        <w:t>供应商</w:t>
      </w:r>
      <w:r>
        <w:rPr>
          <w:rFonts w:ascii="宋体" w:hAnsi="宋体" w:cs="宋体" w:eastAsia="宋体"/>
          <w:sz w:val="24"/>
        </w:rPr>
        <w:t>可视自身能力在投标文件中提供更优、更合理的维修服务承诺。</w:t>
      </w:r>
    </w:p>
    <w:p>
      <w:pPr>
        <w:pStyle w:val="null3"/>
        <w:ind w:firstLine="480"/>
        <w:jc w:val="left"/>
      </w:pPr>
      <w:r>
        <w:rPr>
          <w:rFonts w:ascii="宋体" w:hAnsi="宋体" w:cs="宋体" w:eastAsia="宋体"/>
          <w:sz w:val="24"/>
        </w:rPr>
        <w:t>7.质量保证期结束以后，</w:t>
      </w:r>
      <w:r>
        <w:rPr>
          <w:rFonts w:ascii="宋体" w:hAnsi="宋体" w:cs="宋体" w:eastAsia="宋体"/>
          <w:sz w:val="24"/>
        </w:rPr>
        <w:t>供应商</w:t>
      </w:r>
      <w:r>
        <w:rPr>
          <w:rFonts w:ascii="宋体" w:hAnsi="宋体" w:cs="宋体" w:eastAsia="宋体"/>
          <w:sz w:val="24"/>
        </w:rPr>
        <w:t>仍需提供优质服务，进行定期维护与修理，并仅收取成本费（包括零配件）。</w:t>
      </w:r>
    </w:p>
    <w:p>
      <w:pPr>
        <w:pStyle w:val="null3"/>
        <w:ind w:firstLine="480"/>
        <w:jc w:val="left"/>
      </w:pPr>
      <w:r>
        <w:rPr>
          <w:rFonts w:ascii="宋体" w:hAnsi="宋体" w:cs="宋体" w:eastAsia="宋体"/>
          <w:sz w:val="24"/>
        </w:rPr>
        <w:t>★12、培训要求：1.</w:t>
      </w:r>
      <w:r>
        <w:rPr>
          <w:rFonts w:ascii="宋体" w:hAnsi="宋体" w:cs="宋体" w:eastAsia="宋体"/>
          <w:sz w:val="24"/>
        </w:rPr>
        <w:t>供应商</w:t>
      </w:r>
      <w:r>
        <w:rPr>
          <w:rFonts w:ascii="宋体" w:hAnsi="宋体" w:cs="宋体" w:eastAsia="宋体"/>
          <w:sz w:val="24"/>
        </w:rPr>
        <w:t>应免费对采购人技术人员的操作、维修、保养等方面进行专业现场培训，直至能独立操作。</w:t>
      </w:r>
      <w:r>
        <w:rPr>
          <w:rFonts w:ascii="宋体" w:hAnsi="宋体" w:cs="宋体" w:eastAsia="宋体"/>
          <w:sz w:val="24"/>
        </w:rPr>
        <w:t>供应商</w:t>
      </w:r>
      <w:r>
        <w:rPr>
          <w:rFonts w:ascii="宋体" w:hAnsi="宋体" w:cs="宋体" w:eastAsia="宋体"/>
          <w:sz w:val="24"/>
        </w:rPr>
        <w:t>委派的专业技术人员所需费用均由</w:t>
      </w:r>
      <w:r>
        <w:rPr>
          <w:rFonts w:ascii="宋体" w:hAnsi="宋体" w:cs="宋体" w:eastAsia="宋体"/>
          <w:sz w:val="24"/>
        </w:rPr>
        <w:t>供应商</w:t>
      </w:r>
      <w:r>
        <w:rPr>
          <w:rFonts w:ascii="宋体" w:hAnsi="宋体" w:cs="宋体" w:eastAsia="宋体"/>
          <w:sz w:val="24"/>
        </w:rPr>
        <w:t>承担。</w:t>
      </w:r>
      <w:r>
        <w:rPr>
          <w:rFonts w:ascii="宋体" w:hAnsi="宋体" w:cs="宋体" w:eastAsia="宋体"/>
          <w:sz w:val="24"/>
        </w:rPr>
        <w:t>2.供应商提供培训材料、产品手册、培训视频</w:t>
      </w:r>
    </w:p>
    <w:p>
      <w:pPr>
        <w:pStyle w:val="null3"/>
        <w:ind w:firstLine="480"/>
        <w:jc w:val="left"/>
      </w:pPr>
      <w:r>
        <w:rPr>
          <w:rFonts w:ascii="宋体" w:hAnsi="宋体" w:cs="宋体" w:eastAsia="宋体"/>
          <w:sz w:val="24"/>
        </w:rPr>
        <w:t>★13、违约责任</w:t>
      </w:r>
    </w:p>
    <w:p>
      <w:pPr>
        <w:pStyle w:val="null3"/>
        <w:ind w:firstLine="480"/>
        <w:jc w:val="left"/>
      </w:pPr>
      <w:r>
        <w:rPr>
          <w:rFonts w:ascii="宋体" w:hAnsi="宋体" w:cs="宋体" w:eastAsia="宋体"/>
          <w:sz w:val="24"/>
        </w:rPr>
        <w:t>1.乙方所交付的产品不符合合同规定及采购文件规定标准的，甲方有权拒收，乙方愿意更换产品但逾期交货的，按乙方逾期交货处理。乙方拒绝更换产品的，视为</w:t>
      </w:r>
      <w:r>
        <w:rPr>
          <w:rFonts w:ascii="宋体" w:hAnsi="宋体" w:cs="宋体" w:eastAsia="宋体"/>
          <w:sz w:val="24"/>
        </w:rPr>
        <w:t>“乙方不按合同约定履约”。</w:t>
      </w:r>
    </w:p>
    <w:p>
      <w:pPr>
        <w:pStyle w:val="null3"/>
        <w:ind w:firstLine="480"/>
        <w:jc w:val="left"/>
      </w:pPr>
      <w:r>
        <w:rPr>
          <w:rFonts w:ascii="宋体" w:hAnsi="宋体" w:cs="宋体" w:eastAsia="宋体"/>
          <w:sz w:val="24"/>
        </w:rPr>
        <w:t>2.乙方不按合同约定履约的，甲方可以解除采购合同。同时，乙方还须按向甲方支付合同金额</w:t>
      </w:r>
      <w:r>
        <w:rPr>
          <w:rFonts w:ascii="宋体" w:hAnsi="宋体" w:cs="宋体" w:eastAsia="宋体"/>
          <w:sz w:val="24"/>
        </w:rPr>
        <w:t>5%的违约金。</w:t>
      </w:r>
    </w:p>
    <w:p>
      <w:pPr>
        <w:pStyle w:val="null3"/>
        <w:ind w:firstLine="480"/>
        <w:jc w:val="left"/>
      </w:pPr>
      <w:r>
        <w:rPr>
          <w:rFonts w:ascii="宋体" w:hAnsi="宋体" w:cs="宋体" w:eastAsia="宋体"/>
          <w:sz w:val="24"/>
        </w:rPr>
        <w:t>3.逾期交货：如果中标人未能按双方约定的时间交货的（不可抗力除外），应与采购人协商新的交货期并征得采购人同意。如未与采购人协商无故逾期交货的，没逾期一天按逾期部分产品总金额的</w:t>
      </w:r>
      <w:r>
        <w:rPr>
          <w:rFonts w:ascii="宋体" w:hAnsi="宋体" w:cs="宋体" w:eastAsia="宋体"/>
          <w:sz w:val="24"/>
        </w:rPr>
        <w:t>2%罚款。逾期交货违约金的支付采购人有权从此批次未付的合同货款中扣除。</w:t>
      </w:r>
    </w:p>
    <w:p>
      <w:pPr>
        <w:pStyle w:val="null3"/>
        <w:jc w:val="both"/>
        <w:outlineLvl w:val="2"/>
      </w:pPr>
      <w:r>
        <w:rPr>
          <w:sz w:val="28"/>
          <w:b/>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2.1 投标文件报价中包括货物或服务的一切费用。 2.2 供应商所提供的投标文件应严格按照招标文件要求的格式提交。</w:t>
      </w:r>
    </w:p>
    <w:p>
      <w:pPr>
        <w:pStyle w:val="null3"/>
      </w:pPr>
      <w:r>
        <w:rPr/>
        <w:t xml:space="preserve"> </w:t>
        <w:br/>
        <w:br w:type="page"/>
      </w:r>
    </w:p>
    <w:p>
      <w:pPr>
        <w:pStyle w:val="null3"/>
        <w:jc w:val="center"/>
        <w:outlineLvl w:val="1"/>
      </w:pPr>
      <w:r>
        <w:rPr>
          <w:sz w:val="36"/>
          <w:b/>
        </w:rPr>
        <w:t>第六章 政府采购合同</w:t>
      </w:r>
    </w:p>
    <w:p>
      <w:pPr>
        <w:pStyle w:val="null3"/>
        <w:jc w:val="center"/>
        <w:outlineLvl w:val="2"/>
      </w:pPr>
      <w:r>
        <w:rPr>
          <w:sz w:val="28"/>
          <w:b/>
        </w:rPr>
        <w:t>参考文本</w:t>
      </w:r>
    </w:p>
    <w:p>
      <w:pPr>
        <w:pStyle w:val="null3"/>
        <w:jc w:val="left"/>
        <w:outlineLvl w:val="0"/>
      </w:pPr>
      <w:r>
        <w:rPr>
          <w:sz w:val="48"/>
          <w:b/>
        </w:rPr>
        <w:t xml:space="preserve"> 政府采购货物买卖合同</w:t>
      </w:r>
    </w:p>
    <w:p>
      <w:pPr>
        <w:pStyle w:val="null3"/>
        <w:jc w:val="center"/>
        <w:outlineLvl w:val="0"/>
      </w:pPr>
      <w:r>
        <w:rPr>
          <w:sz w:val="48"/>
          <w:b/>
        </w:rPr>
        <w:t>（试行）</w:t>
      </w:r>
    </w:p>
    <w:p>
      <w:pPr>
        <w:pStyle w:val="null3"/>
        <w:jc w:val="left"/>
      </w:pPr>
      <w:r>
        <w:rPr>
          <w:sz w:val="31"/>
          <w:b/>
        </w:rPr>
        <w:t xml:space="preserve">项目名称： </w:t>
      </w:r>
      <w:r>
        <w:rPr>
          <w:sz w:val="31"/>
          <w:b/>
        </w:rPr>
        <w:t>__________________________</w:t>
      </w:r>
    </w:p>
    <w:p>
      <w:pPr>
        <w:pStyle w:val="null3"/>
        <w:jc w:val="left"/>
      </w:pPr>
      <w:r>
        <w:rPr>
          <w:sz w:val="31"/>
          <w:b/>
        </w:rPr>
        <w:t>合同编号：</w:t>
      </w:r>
      <w:r>
        <w:rPr>
          <w:sz w:val="31"/>
          <w:b/>
        </w:rPr>
        <w:t xml:space="preserve"> __________________________</w:t>
      </w:r>
    </w:p>
    <w:p>
      <w:pPr>
        <w:pStyle w:val="null3"/>
        <w:jc w:val="left"/>
      </w:pPr>
      <w:r>
        <w:rPr>
          <w:sz w:val="31"/>
          <w:b/>
        </w:rPr>
        <w:t xml:space="preserve">甲   方： </w:t>
      </w:r>
      <w:r>
        <w:rPr>
          <w:sz w:val="31"/>
          <w:b/>
        </w:rPr>
        <w:t>__________________________</w:t>
      </w:r>
    </w:p>
    <w:p>
      <w:pPr>
        <w:pStyle w:val="null3"/>
        <w:jc w:val="left"/>
      </w:pPr>
      <w:r>
        <w:rPr>
          <w:sz w:val="31"/>
          <w:b/>
        </w:rPr>
        <w:t>乙   方：</w:t>
      </w:r>
      <w:r>
        <w:rPr>
          <w:sz w:val="31"/>
          <w:b/>
        </w:rPr>
        <w:t>__________________________</w:t>
      </w:r>
    </w:p>
    <w:p>
      <w:pPr>
        <w:pStyle w:val="null3"/>
        <w:jc w:val="left"/>
      </w:pPr>
      <w:r>
        <w:rPr>
          <w:sz w:val="31"/>
          <w:b/>
        </w:rPr>
        <w:t>签订时间：</w:t>
      </w:r>
      <w:r>
        <w:rPr>
          <w:sz w:val="31"/>
          <w:b/>
        </w:rPr>
        <w:t xml:space="preserve"> __________________________</w:t>
      </w:r>
    </w:p>
    <w:p>
      <w:pPr>
        <w:pStyle w:val="null3"/>
        <w:jc w:val="left"/>
      </w:pPr>
      <w:r>
        <w:rPr/>
        <w:t xml:space="preserve"> </w:t>
      </w:r>
    </w:p>
    <w:p>
      <w:pPr>
        <w:pStyle w:val="null3"/>
        <w:jc w:val="center"/>
        <w:outlineLvl w:val="1"/>
      </w:pPr>
      <w:r>
        <w:rPr>
          <w:sz w:val="36"/>
          <w:b/>
        </w:rPr>
        <w:t>使用说明</w:t>
      </w:r>
    </w:p>
    <w:p>
      <w:pPr>
        <w:pStyle w:val="null3"/>
        <w:jc w:val="left"/>
        <w:outlineLvl w:val="3"/>
      </w:pPr>
      <w:r>
        <w:rPr>
          <w:sz w:val="24"/>
          <w:b/>
        </w:rPr>
        <w:t>1.本合同标准文本适用于购买现成货物的采购项目，不包括需要供应商定制开发、创新研发的货物采购项目。</w:t>
      </w:r>
    </w:p>
    <w:p>
      <w:pPr>
        <w:pStyle w:val="null3"/>
        <w:jc w:val="left"/>
        <w:outlineLvl w:val="3"/>
      </w:pPr>
      <w:r>
        <w:rPr>
          <w:sz w:val="24"/>
          <w:b/>
        </w:rPr>
        <w:t>2.本合同标准文本为政府采购货物买卖合同编制提供参考，可以结合采购项目具体情况，对文本作必要的调整修订后使用。</w:t>
      </w:r>
    </w:p>
    <w:p>
      <w:pPr>
        <w:pStyle w:val="null3"/>
        <w:jc w:val="left"/>
        <w:outlineLvl w:val="3"/>
      </w:pPr>
      <w:r>
        <w:rPr>
          <w:sz w:val="24"/>
          <w:b/>
        </w:rPr>
        <w:t>3.本合同标准文本各条款中，如涉及填写多家供应商、制造商，多种采购标的、分包主要内容等信息的，可根据采购项目具体情况添加信息项。</w:t>
      </w:r>
    </w:p>
    <w:p>
      <w:pPr>
        <w:pStyle w:val="null3"/>
        <w:jc w:val="center"/>
        <w:outlineLvl w:val="1"/>
      </w:pPr>
      <w:r>
        <w:rPr>
          <w:sz w:val="36"/>
          <w:b/>
        </w:rPr>
        <w:t>第一节 政府采购合同协议书</w:t>
      </w:r>
    </w:p>
    <w:p>
      <w:pPr>
        <w:pStyle w:val="null3"/>
        <w:jc w:val="left"/>
      </w:pPr>
      <w:r>
        <w:rPr/>
        <w:t>甲方（全称）：</w:t>
      </w:r>
      <w:r>
        <w:rPr/>
        <w:t>___________________________（采购人、受采购人委托签订合同的单位或采购文件约定的合同甲方）</w:t>
      </w:r>
    </w:p>
    <w:p>
      <w:pPr>
        <w:pStyle w:val="null3"/>
        <w:jc w:val="left"/>
      </w:pPr>
      <w:r>
        <w:rPr/>
        <w:t>乙方1（全称）：</w:t>
      </w:r>
      <w:r>
        <w:rPr/>
        <w:t>___________________________</w:t>
      </w:r>
      <w:r>
        <w:rPr/>
        <w:t>（供应商）</w:t>
      </w:r>
    </w:p>
    <w:p>
      <w:pPr>
        <w:pStyle w:val="null3"/>
        <w:jc w:val="left"/>
      </w:pPr>
      <w:r>
        <w:rPr/>
        <w:t>乙方2（全称）：</w:t>
      </w:r>
      <w:r>
        <w:rPr/>
        <w:t>___________________________</w:t>
      </w:r>
      <w:r>
        <w:rPr/>
        <w:t>（联合体成员供应商或其他合同主体）（如有）</w:t>
      </w:r>
    </w:p>
    <w:p>
      <w:pPr>
        <w:pStyle w:val="null3"/>
        <w:jc w:val="left"/>
      </w:pPr>
      <w:r>
        <w:rPr/>
        <w:t>乙方3（全称）：</w:t>
      </w:r>
      <w:r>
        <w:rPr/>
        <w:t>___________________________</w:t>
      </w:r>
      <w:r>
        <w:rPr/>
        <w:t>（联合体成员供应商或其他合同主体）（如有）</w:t>
      </w:r>
    </w:p>
    <w:p>
      <w:pPr>
        <w:pStyle w:val="null3"/>
        <w:jc w:val="left"/>
      </w:pPr>
      <w:r>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sz w:val="28"/>
          <w:b/>
        </w:rPr>
        <w:t>1.项目信息</w:t>
      </w:r>
    </w:p>
    <w:p>
      <w:pPr>
        <w:pStyle w:val="null3"/>
        <w:jc w:val="left"/>
      </w:pPr>
      <w:r>
        <w:rPr/>
        <w:t>(1)采购项目名称：</w:t>
      </w:r>
      <w:r>
        <w:rPr/>
        <w:t>___________________________</w:t>
      </w:r>
    </w:p>
    <w:p>
      <w:pPr>
        <w:pStyle w:val="null3"/>
        <w:jc w:val="left"/>
      </w:pPr>
      <w:r>
        <w:rPr/>
        <w:t xml:space="preserve"> 采购项目编号：</w:t>
      </w:r>
      <w:r>
        <w:rPr/>
        <w:t>____________________________</w:t>
      </w:r>
    </w:p>
    <w:p>
      <w:pPr>
        <w:pStyle w:val="null3"/>
        <w:jc w:val="left"/>
      </w:pPr>
      <w:r>
        <w:rPr/>
        <w:t>(2)采购计划编号：</w:t>
      </w:r>
      <w:r>
        <w:rPr/>
        <w:t>___________________________</w:t>
      </w:r>
    </w:p>
    <w:p>
      <w:pPr>
        <w:pStyle w:val="null3"/>
        <w:jc w:val="left"/>
      </w:pPr>
      <w:r>
        <w:rPr/>
        <w:t>(3)项目内容：</w:t>
      </w:r>
    </w:p>
    <w:p>
      <w:pPr>
        <w:pStyle w:val="null3"/>
        <w:jc w:val="left"/>
      </w:pPr>
      <w:r>
        <w:rPr/>
        <w:t>采购标的及数量（台/套/个/架/组等）：</w:t>
      </w:r>
      <w:r>
        <w:rPr/>
        <w:t>___________________</w:t>
      </w:r>
    </w:p>
    <w:p>
      <w:pPr>
        <w:pStyle w:val="null3"/>
        <w:jc w:val="left"/>
      </w:pPr>
      <w:r>
        <w:rPr/>
        <w:t xml:space="preserve"> 品牌： </w:t>
      </w:r>
      <w:r>
        <w:rPr/>
        <w:t>___________________</w:t>
      </w:r>
      <w:r>
        <w:rPr/>
        <w:t xml:space="preserve"> 规格型号：</w:t>
      </w:r>
      <w:r>
        <w:rPr/>
        <w:t>___________________</w:t>
      </w:r>
    </w:p>
    <w:p>
      <w:pPr>
        <w:pStyle w:val="null3"/>
        <w:jc w:val="left"/>
      </w:pPr>
      <w:r>
        <w:rPr/>
        <w:t>采购标的的技术要求、商务要求具体见附件。</w:t>
      </w:r>
    </w:p>
    <w:p>
      <w:pPr>
        <w:pStyle w:val="null3"/>
        <w:jc w:val="left"/>
      </w:pPr>
      <w:r>
        <w:rPr/>
        <w:t>①涉及信息类产品，请填写该产品关键部件的品牌、型号：</w:t>
      </w:r>
    </w:p>
    <w:p>
      <w:pPr>
        <w:pStyle w:val="null3"/>
        <w:jc w:val="left"/>
      </w:pPr>
      <w:r>
        <w:rPr/>
        <w:t xml:space="preserve">标的名称：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 xml:space="preserve">关键部件： </w:t>
      </w:r>
      <w:r>
        <w:rPr/>
        <w:t>___________________</w:t>
      </w:r>
      <w:r>
        <w:rPr/>
        <w:t xml:space="preserve"> 品牌：</w:t>
      </w:r>
      <w:r>
        <w:rPr/>
        <w:t>___________________</w:t>
      </w:r>
      <w:r>
        <w:rPr/>
        <w:t xml:space="preserve"> 型号： </w:t>
      </w:r>
      <w:r>
        <w:rPr/>
        <w:t>___________________</w:t>
      </w:r>
    </w:p>
    <w:p>
      <w:pPr>
        <w:pStyle w:val="null3"/>
        <w:jc w:val="left"/>
      </w:pPr>
      <w:r>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t>②涉及车辆采购，请填写是否属于新能源汽车：</w:t>
      </w:r>
    </w:p>
    <w:p>
      <w:pPr>
        <w:pStyle w:val="null3"/>
        <w:jc w:val="left"/>
      </w:pPr>
      <w:r>
        <w:rPr/>
        <w:t xml:space="preserve"> 是，《政府采购品目分类目录》底级品目名称：</w:t>
      </w:r>
      <w:r>
        <w:rPr/>
        <w:t>__________</w:t>
      </w:r>
      <w:r>
        <w:rPr/>
        <w:t xml:space="preserve">  数量：</w:t>
      </w:r>
      <w:r>
        <w:rPr/>
        <w:t>__________</w:t>
      </w:r>
      <w:r>
        <w:rPr/>
        <w:t xml:space="preserve">  金额：</w:t>
      </w:r>
      <w:r>
        <w:rPr/>
        <w:t>__________</w:t>
      </w:r>
    </w:p>
    <w:p>
      <w:pPr>
        <w:pStyle w:val="null3"/>
        <w:spacing w:lineRule="auto" w:line="300"/>
        <w:jc w:val="left"/>
      </w:pPr>
      <w:r>
        <w:rPr/>
        <w:t xml:space="preserve"> 否</w:t>
      </w:r>
    </w:p>
    <w:p>
      <w:pPr>
        <w:pStyle w:val="null3"/>
        <w:jc w:val="left"/>
      </w:pPr>
      <w:r>
        <w:rPr/>
        <w:t>(4)政府采购组织形式：</w:t>
      </w:r>
      <w:r>
        <w:rPr/>
        <w:t xml:space="preserve">政府集中采购 </w:t>
      </w:r>
      <w:r>
        <w:rPr/>
        <w:t xml:space="preserve">部门集中采购 </w:t>
      </w:r>
      <w:r>
        <w:rPr/>
        <w:t>分散采购</w:t>
      </w:r>
    </w:p>
    <w:p>
      <w:pPr>
        <w:pStyle w:val="null3"/>
        <w:jc w:val="left"/>
      </w:pPr>
      <w:r>
        <w:rPr/>
        <w:t>(5)政府采购方式：</w:t>
      </w:r>
      <w:r>
        <w:rPr/>
        <w:t xml:space="preserve">公开招标 </w:t>
      </w:r>
      <w:r>
        <w:rPr/>
        <w:t xml:space="preserve">邀请招标 </w:t>
      </w:r>
      <w:r>
        <w:rPr/>
        <w:t xml:space="preserve">竞争性谈判 </w:t>
      </w:r>
      <w:r>
        <w:rPr/>
        <w:t>竞争性磋商</w:t>
      </w:r>
      <w:r>
        <w:rPr/>
        <w:t xml:space="preserve">询价 </w:t>
      </w:r>
      <w:r>
        <w:rPr/>
        <w:t xml:space="preserve">单一来源 </w:t>
      </w:r>
      <w:r>
        <w:rPr/>
        <w:t xml:space="preserve">框架协议 </w:t>
      </w:r>
      <w:r>
        <w:rPr/>
        <w:t>其他：</w:t>
      </w:r>
      <w:r>
        <w:rPr/>
        <w:t>____________________</w:t>
      </w:r>
    </w:p>
    <w:p>
      <w:pPr>
        <w:pStyle w:val="null3"/>
        <w:jc w:val="left"/>
      </w:pPr>
      <w:r>
        <w:rPr/>
        <w:t>(6)中标（成交）采购标的制造商是否为中小企业：</w:t>
      </w:r>
      <w:r>
        <w:rPr/>
        <w:t>是</w:t>
      </w:r>
      <w:r>
        <w:rPr/>
        <w:t>否</w:t>
      </w:r>
    </w:p>
    <w:p>
      <w:pPr>
        <w:pStyle w:val="null3"/>
        <w:jc w:val="left"/>
      </w:pPr>
      <w:r>
        <w:rPr/>
        <w:t>本合同是否为专门面向中小企业的采购合同（中小企业预留合同）：</w:t>
      </w:r>
      <w:r>
        <w:rPr/>
        <w:t>是</w:t>
      </w:r>
      <w:r>
        <w:rPr/>
        <w:t>否</w:t>
      </w:r>
    </w:p>
    <w:p>
      <w:pPr>
        <w:pStyle w:val="null3"/>
        <w:jc w:val="left"/>
      </w:pPr>
      <w:r>
        <w:rPr/>
        <w:t>若本项目不专门面向中小企业采购，是否给予小微企业评审优惠：</w:t>
      </w:r>
      <w:r>
        <w:rPr/>
        <w:t>是</w:t>
      </w:r>
      <w:r>
        <w:rPr/>
        <w:t>否</w:t>
      </w:r>
    </w:p>
    <w:p>
      <w:pPr>
        <w:pStyle w:val="null3"/>
        <w:jc w:val="left"/>
      </w:pPr>
      <w:r>
        <w:rPr/>
        <w:t>中标（成交）采购标的制造商是否为残疾人福利性单位：</w:t>
      </w:r>
      <w:r>
        <w:rPr/>
        <w:t>是</w:t>
      </w:r>
      <w:r>
        <w:rPr/>
        <w:t>否</w:t>
      </w:r>
    </w:p>
    <w:p>
      <w:pPr>
        <w:pStyle w:val="null3"/>
        <w:jc w:val="left"/>
      </w:pPr>
      <w:r>
        <w:rPr/>
        <w:t>中标（成交）采购标的制造商是否为监狱企业：</w:t>
      </w:r>
      <w:r>
        <w:rPr/>
        <w:t>是</w:t>
      </w:r>
      <w:r>
        <w:rPr/>
        <w:t>否</w:t>
      </w:r>
    </w:p>
    <w:p>
      <w:pPr>
        <w:pStyle w:val="null3"/>
        <w:jc w:val="left"/>
      </w:pPr>
      <w:r>
        <w:rPr/>
        <w:t>(7)合同是否分包：</w:t>
      </w:r>
      <w:r>
        <w:rPr/>
        <w:t>是</w:t>
      </w:r>
      <w:r>
        <w:rPr/>
        <w:t>否</w:t>
      </w:r>
    </w:p>
    <w:p>
      <w:pPr>
        <w:pStyle w:val="null3"/>
        <w:jc w:val="left"/>
      </w:pPr>
      <w:r>
        <w:rPr/>
        <w:t>分包主要内容：</w:t>
      </w:r>
      <w:r>
        <w:rPr/>
        <w:t>________________________________________</w:t>
      </w:r>
    </w:p>
    <w:p>
      <w:pPr>
        <w:pStyle w:val="null3"/>
        <w:jc w:val="left"/>
      </w:pPr>
      <w:r>
        <w:rPr/>
        <w:t>分包供应商/制造商名称（如供应商和制造商不同，请分别填写）：</w:t>
      </w:r>
    </w:p>
    <w:p>
      <w:pPr>
        <w:pStyle w:val="null3"/>
        <w:jc w:val="left"/>
      </w:pPr>
      <w:r>
        <w:rPr/>
        <w:t>________________________________________</w:t>
      </w:r>
    </w:p>
    <w:p>
      <w:pPr>
        <w:pStyle w:val="null3"/>
        <w:jc w:val="left"/>
      </w:pPr>
      <w:r>
        <w:rPr/>
        <w:t>分包供应商/制造商类型（如果供应商和制造商不同，只填写制造商类型）：</w:t>
      </w:r>
    </w:p>
    <w:p>
      <w:pPr>
        <w:pStyle w:val="null3"/>
        <w:jc w:val="left"/>
      </w:pPr>
      <w:r>
        <w:rPr/>
        <w:t>大型企业</w:t>
      </w:r>
      <w:r>
        <w:rPr/>
        <w:t>中型企业</w:t>
      </w:r>
      <w:r>
        <w:rPr/>
        <w:t>小微型企业</w:t>
      </w:r>
    </w:p>
    <w:p>
      <w:pPr>
        <w:pStyle w:val="null3"/>
        <w:jc w:val="left"/>
      </w:pPr>
      <w:r>
        <w:rPr/>
        <w:t>残疾人福利性单位</w:t>
      </w:r>
      <w:r>
        <w:rPr/>
        <w:t>监狱企业</w:t>
      </w:r>
      <w:r>
        <w:rPr/>
        <w:t>其他</w:t>
      </w:r>
    </w:p>
    <w:p>
      <w:pPr>
        <w:pStyle w:val="null3"/>
        <w:jc w:val="left"/>
      </w:pPr>
      <w:r>
        <w:rPr/>
        <w:t>(8)中标（成交）供应商是否为外商投资企业：</w:t>
      </w:r>
      <w:r>
        <w:rPr/>
        <w:t>是</w:t>
      </w:r>
      <w:r>
        <w:rPr/>
        <w:t>否</w:t>
      </w:r>
    </w:p>
    <w:p>
      <w:pPr>
        <w:pStyle w:val="null3"/>
        <w:spacing w:lineRule="auto" w:line="300"/>
        <w:ind w:firstLine="840"/>
        <w:jc w:val="left"/>
      </w:pPr>
      <w:r>
        <w:rPr/>
        <w:t>外商投资企业类型：</w:t>
      </w:r>
      <w:r>
        <w:rPr/>
        <w:t>全部由外国投资者投资</w:t>
      </w:r>
      <w:r>
        <w:rPr/>
        <w:t>部分由外国投资者投资</w:t>
      </w:r>
    </w:p>
    <w:p>
      <w:pPr>
        <w:pStyle w:val="null3"/>
        <w:jc w:val="left"/>
      </w:pPr>
      <w:r>
        <w:rPr/>
        <w:t>（9）是否涉及进口产品：</w:t>
      </w:r>
    </w:p>
    <w:p>
      <w:pPr>
        <w:pStyle w:val="null3"/>
        <w:jc w:val="left"/>
      </w:pPr>
      <w:r>
        <w:rPr/>
        <w:t xml:space="preserve"> 是，《政府采购品目分类目录》底级品目名称：</w:t>
      </w:r>
      <w:r>
        <w:rPr/>
        <w:t>__________</w:t>
      </w:r>
      <w:r>
        <w:rPr/>
        <w:t xml:space="preserve">  金额：</w:t>
      </w:r>
      <w:r>
        <w:rPr/>
        <w:t>__________</w:t>
      </w:r>
    </w:p>
    <w:p>
      <w:pPr>
        <w:pStyle w:val="null3"/>
        <w:spacing w:lineRule="auto" w:line="300"/>
        <w:ind w:firstLine="1260"/>
        <w:jc w:val="left"/>
      </w:pPr>
      <w:r>
        <w:rPr/>
        <w:t>国别：</w:t>
      </w:r>
      <w:r>
        <w:rPr/>
        <w:t>__________</w:t>
      </w:r>
      <w:r>
        <w:rPr/>
        <w:t xml:space="preserve">  品牌：</w:t>
      </w:r>
      <w:r>
        <w:rPr/>
        <w:t>__________</w:t>
      </w:r>
      <w:r>
        <w:rPr/>
        <w:t xml:space="preserve">  规格型号</w:t>
      </w:r>
      <w:r>
        <w:rPr/>
        <w:t>__________</w:t>
      </w:r>
    </w:p>
    <w:p>
      <w:pPr>
        <w:pStyle w:val="null3"/>
        <w:spacing w:lineRule="auto" w:line="300"/>
        <w:ind w:firstLine="840"/>
        <w:jc w:val="left"/>
      </w:pPr>
      <w:r>
        <w:rPr/>
        <w:t xml:space="preserve"> 否</w:t>
      </w:r>
    </w:p>
    <w:p>
      <w:pPr>
        <w:pStyle w:val="null3"/>
        <w:jc w:val="left"/>
      </w:pPr>
      <w:r>
        <w:rPr/>
        <w:t>（10）是否涉及节能产品：</w:t>
      </w:r>
    </w:p>
    <w:p>
      <w:pPr>
        <w:pStyle w:val="null3"/>
        <w:jc w:val="left"/>
      </w:pPr>
      <w:r>
        <w:rPr/>
        <w:t xml:space="preserve"> 是，《节能产品政府采购品目清单》的底级品目名称：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是否涉及环境标志产品：</w:t>
      </w:r>
    </w:p>
    <w:p>
      <w:pPr>
        <w:pStyle w:val="null3"/>
        <w:jc w:val="left"/>
      </w:pPr>
      <w:r>
        <w:rPr/>
        <w:t xml:space="preserve"> 是，《环境标志产品政府采购品目清单》的底级品目名称：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ind w:firstLine="840"/>
        <w:jc w:val="left"/>
      </w:pPr>
      <w:r>
        <w:rPr/>
        <w:t>是否涉及绿色产品：</w:t>
      </w:r>
    </w:p>
    <w:p>
      <w:pPr>
        <w:pStyle w:val="null3"/>
        <w:jc w:val="left"/>
      </w:pPr>
      <w:r>
        <w:rPr/>
        <w:t xml:space="preserve"> 是，绿色产品政府采购相关政策确定的底级品目名称：</w:t>
      </w:r>
      <w:r>
        <w:rPr/>
        <w:t>__________</w:t>
      </w:r>
    </w:p>
    <w:p>
      <w:pPr>
        <w:pStyle w:val="null3"/>
        <w:spacing w:lineRule="auto" w:line="300"/>
        <w:ind w:firstLine="1260"/>
        <w:jc w:val="left"/>
      </w:pPr>
      <w:r>
        <w:rPr/>
        <w:t xml:space="preserve"> 强制采购</w:t>
      </w:r>
      <w:r>
        <w:rPr/>
        <w:t xml:space="preserve">        </w:t>
      </w:r>
      <w:r>
        <w:rPr/>
        <w:t xml:space="preserve"> 优先采购</w:t>
      </w:r>
    </w:p>
    <w:p>
      <w:pPr>
        <w:pStyle w:val="null3"/>
        <w:spacing w:lineRule="auto" w:line="300"/>
        <w:ind w:firstLine="840"/>
        <w:jc w:val="left"/>
      </w:pPr>
      <w:r>
        <w:rPr/>
        <w:t xml:space="preserve"> 否</w:t>
      </w:r>
    </w:p>
    <w:p>
      <w:pPr>
        <w:pStyle w:val="null3"/>
        <w:jc w:val="left"/>
      </w:pPr>
      <w:r>
        <w:rPr/>
        <w:t xml:space="preserve"> (11)涉及商品包装和快递包装的，是否参考《商品包装政府采购需求标准（试行）》、《快递包装政府采购需求标准（试行）》明确产品及相关快递服务的具体包装要求：</w:t>
      </w:r>
    </w:p>
    <w:p>
      <w:pPr>
        <w:pStyle w:val="null3"/>
        <w:jc w:val="left"/>
      </w:pPr>
      <w:r>
        <w:rPr/>
        <w:t>是</w:t>
      </w:r>
      <w:r>
        <w:rPr/>
        <w:t xml:space="preserve">         </w:t>
      </w:r>
      <w:r>
        <w:rPr/>
        <w:t>否</w:t>
      </w:r>
      <w:r>
        <w:rPr/>
        <w:t xml:space="preserve">        </w:t>
      </w:r>
      <w:r>
        <w:rPr/>
        <w:t>不涉及</w:t>
      </w:r>
    </w:p>
    <w:p>
      <w:pPr>
        <w:pStyle w:val="null3"/>
        <w:jc w:val="left"/>
        <w:outlineLvl w:val="2"/>
      </w:pPr>
      <w:r>
        <w:rPr>
          <w:sz w:val="28"/>
          <w:b/>
        </w:rPr>
        <w:t>2.合同金额</w:t>
      </w:r>
    </w:p>
    <w:p>
      <w:pPr>
        <w:pStyle w:val="null3"/>
        <w:jc w:val="left"/>
      </w:pPr>
      <w:r>
        <w:rPr/>
        <w:t>（1）合同金额小写：</w:t>
      </w:r>
      <w:r>
        <w:rPr/>
        <w:t>____________________</w:t>
      </w:r>
    </w:p>
    <w:p>
      <w:pPr>
        <w:pStyle w:val="null3"/>
        <w:ind w:firstLine="1980"/>
        <w:jc w:val="left"/>
      </w:pPr>
      <w:r>
        <w:rPr/>
        <w:t>大写：</w:t>
      </w:r>
      <w:r>
        <w:rPr/>
        <w:t>____________________</w:t>
      </w:r>
    </w:p>
    <w:p>
      <w:pPr>
        <w:pStyle w:val="null3"/>
        <w:jc w:val="left"/>
      </w:pPr>
      <w:r>
        <w:rPr/>
        <w:t xml:space="preserve">  分包金额（如有）小写：</w:t>
      </w:r>
      <w:r>
        <w:rPr/>
        <w:t>____________________</w:t>
      </w:r>
    </w:p>
    <w:p>
      <w:pPr>
        <w:pStyle w:val="null3"/>
        <w:ind w:firstLine="2820"/>
        <w:jc w:val="left"/>
      </w:pPr>
      <w:r>
        <w:rPr/>
        <w:t>大写：</w:t>
      </w:r>
      <w:r>
        <w:rPr/>
        <w:t>____________________</w:t>
      </w:r>
    </w:p>
    <w:p>
      <w:pPr>
        <w:pStyle w:val="null3"/>
        <w:jc w:val="left"/>
      </w:pPr>
      <w:r>
        <w:rPr/>
        <w:t xml:space="preserve"> （注：固定单价合同应填写单价和最高限价）</w:t>
      </w:r>
    </w:p>
    <w:p>
      <w:pPr>
        <w:pStyle w:val="null3"/>
        <w:jc w:val="left"/>
      </w:pPr>
      <w:r>
        <w:rPr/>
        <w:t>（2）合同定价方式（采用组合定价方式的，可以勾选多项）：</w:t>
      </w:r>
    </w:p>
    <w:p>
      <w:pPr>
        <w:pStyle w:val="null3"/>
        <w:jc w:val="left"/>
      </w:pPr>
      <w:r>
        <w:rPr/>
        <w:t>固定总价</w:t>
      </w:r>
      <w:r>
        <w:rPr/>
        <w:t>固定单价</w:t>
      </w:r>
      <w:r>
        <w:rPr/>
        <w:t>成本补偿</w:t>
      </w:r>
      <w:r>
        <w:rPr/>
        <w:t>绩效激励</w:t>
      </w:r>
      <w:r>
        <w:rPr/>
        <w:t>其他</w:t>
      </w:r>
      <w:r>
        <w:rPr/>
        <w:t>__________</w:t>
      </w:r>
    </w:p>
    <w:p>
      <w:pPr>
        <w:pStyle w:val="null3"/>
        <w:jc w:val="left"/>
      </w:pPr>
      <w:r>
        <w:rPr/>
        <w:t>（3）付款方式（按项目实际勾选填写）：</w:t>
      </w:r>
    </w:p>
    <w:p>
      <w:pPr>
        <w:pStyle w:val="null3"/>
        <w:jc w:val="left"/>
      </w:pPr>
      <w:r>
        <w:rPr/>
        <w:t>全额付款：</w:t>
      </w:r>
      <w:r>
        <w:rPr/>
        <w:t>_______（应明确一次性支付合同款项的条件）_____________</w:t>
      </w:r>
    </w:p>
    <w:p>
      <w:pPr>
        <w:pStyle w:val="null3"/>
        <w:jc w:val="left"/>
      </w:pPr>
      <w:r>
        <w:rPr/>
        <w:t>分期付款：</w:t>
      </w:r>
      <w:r>
        <w:rPr/>
        <w:t>_______（应明确分期支付合同款项的各期比例和支付条件，各期支付条件应与分期履约验收情况挂钩）_____________</w:t>
      </w:r>
      <w:r>
        <w:rPr/>
        <w:t>，其中涉及预付款的：</w:t>
      </w:r>
      <w:r>
        <w:rPr/>
        <w:t>_______ （应明确预付款的支付比例和支付条件）</w:t>
      </w:r>
    </w:p>
    <w:p>
      <w:pPr>
        <w:pStyle w:val="null3"/>
        <w:jc w:val="left"/>
      </w:pPr>
      <w:r>
        <w:rPr/>
        <w:t>成本补偿：</w:t>
      </w:r>
      <w:r>
        <w:rPr/>
        <w:t>_______（应明确按照成本补偿方式的支付方式和支付条件）___________</w:t>
      </w:r>
    </w:p>
    <w:p>
      <w:pPr>
        <w:pStyle w:val="null3"/>
        <w:jc w:val="left"/>
      </w:pPr>
      <w:r>
        <w:rPr/>
        <w:t>绩效激励：</w:t>
      </w:r>
      <w:r>
        <w:rPr/>
        <w:t>_______（应明确按照绩效激励方式的支付方式和支付条件）_________</w:t>
      </w:r>
    </w:p>
    <w:p>
      <w:pPr>
        <w:pStyle w:val="null3"/>
        <w:jc w:val="left"/>
        <w:outlineLvl w:val="2"/>
      </w:pPr>
      <w:r>
        <w:rPr>
          <w:sz w:val="28"/>
          <w:b/>
        </w:rPr>
        <w:t>3.合同履行</w:t>
      </w:r>
    </w:p>
    <w:p>
      <w:pPr>
        <w:pStyle w:val="null3"/>
        <w:jc w:val="left"/>
      </w:pPr>
      <w:r>
        <w:rPr/>
        <w:t>（1）起始日期：</w:t>
      </w:r>
      <w:r>
        <w:rPr/>
        <w:t>____________________年____________________月 ____________________日</w:t>
      </w:r>
      <w:r>
        <w:rPr/>
        <w:t xml:space="preserve"> ，完成日期：</w:t>
      </w:r>
      <w:r>
        <w:rPr/>
        <w:t>____________________年____________________月____________________日</w:t>
      </w:r>
      <w:r>
        <w:rPr/>
        <w:t>。</w:t>
      </w:r>
    </w:p>
    <w:p>
      <w:pPr>
        <w:pStyle w:val="null3"/>
        <w:jc w:val="left"/>
      </w:pPr>
      <w:r>
        <w:rPr/>
        <w:t>（2）履约地点：</w:t>
      </w:r>
      <w:r>
        <w:rPr/>
        <w:t>____________________</w:t>
      </w:r>
    </w:p>
    <w:p>
      <w:pPr>
        <w:pStyle w:val="null3"/>
        <w:jc w:val="left"/>
      </w:pPr>
      <w:r>
        <w:rPr/>
        <w:t>（3）履约担保：</w:t>
      </w:r>
    </w:p>
    <w:p>
      <w:pPr>
        <w:pStyle w:val="null3"/>
        <w:jc w:val="left"/>
      </w:pPr>
      <w:r>
        <w:rPr/>
        <w:t>是否收取履约保证金：</w:t>
      </w:r>
      <w:r>
        <w:rPr/>
        <w:t>是</w:t>
      </w:r>
      <w:r>
        <w:rPr/>
        <w:t xml:space="preserve"> 否</w:t>
      </w:r>
    </w:p>
    <w:p>
      <w:pPr>
        <w:pStyle w:val="null3"/>
        <w:jc w:val="left"/>
      </w:pPr>
      <w:r>
        <w:rPr/>
        <w:t>收取履约保证金形式：</w:t>
      </w:r>
      <w:r>
        <w:rPr/>
        <w:t>____________________</w:t>
      </w:r>
    </w:p>
    <w:p>
      <w:pPr>
        <w:pStyle w:val="null3"/>
        <w:jc w:val="left"/>
      </w:pPr>
      <w:r>
        <w:rPr/>
        <w:t>收取履约保证金金额：</w:t>
      </w:r>
      <w:r>
        <w:rPr/>
        <w:t>____________________</w:t>
      </w:r>
    </w:p>
    <w:p>
      <w:pPr>
        <w:pStyle w:val="null3"/>
        <w:jc w:val="left"/>
      </w:pPr>
      <w:r>
        <w:rPr/>
        <w:t>履约担保期限：</w:t>
      </w:r>
      <w:r>
        <w:rPr/>
        <w:t>____________________</w:t>
      </w:r>
    </w:p>
    <w:p>
      <w:pPr>
        <w:pStyle w:val="null3"/>
        <w:ind w:firstLine="510"/>
        <w:jc w:val="left"/>
      </w:pPr>
      <w:r>
        <w:rPr/>
        <w:t>履约担保期限：</w:t>
      </w:r>
      <w:r>
        <w:rPr/>
        <w:t>____________________</w:t>
      </w:r>
    </w:p>
    <w:p>
      <w:pPr>
        <w:pStyle w:val="null3"/>
        <w:jc w:val="left"/>
      </w:pPr>
      <w:r>
        <w:rPr/>
        <w:t>（4）分期履行要求：</w:t>
      </w:r>
      <w:r>
        <w:rPr/>
        <w:t>____________________</w:t>
      </w:r>
    </w:p>
    <w:p>
      <w:pPr>
        <w:pStyle w:val="null3"/>
        <w:jc w:val="left"/>
      </w:pPr>
      <w:r>
        <w:rPr/>
        <w:t>（5）风险处置措施和替代方案：</w:t>
      </w:r>
      <w:r>
        <w:rPr/>
        <w:t>____________________</w:t>
      </w:r>
    </w:p>
    <w:p>
      <w:pPr>
        <w:pStyle w:val="null3"/>
        <w:jc w:val="left"/>
        <w:outlineLvl w:val="2"/>
      </w:pPr>
      <w:r>
        <w:rPr>
          <w:sz w:val="28"/>
          <w:b/>
        </w:rPr>
        <w:t>4.合同验收</w:t>
      </w:r>
    </w:p>
    <w:p>
      <w:pPr>
        <w:pStyle w:val="null3"/>
        <w:jc w:val="left"/>
      </w:pPr>
      <w:r>
        <w:rPr/>
        <w:t>（1）验收组织方式：</w:t>
      </w:r>
      <w:r>
        <w:rPr/>
        <w:t>自行验收</w:t>
      </w:r>
      <w:r>
        <w:rPr/>
        <w:t>委托第三方验收</w:t>
      </w:r>
    </w:p>
    <w:p>
      <w:pPr>
        <w:pStyle w:val="null3"/>
        <w:jc w:val="left"/>
      </w:pPr>
      <w:r>
        <w:rPr/>
        <w:t>验收主体：</w:t>
      </w:r>
      <w:r>
        <w:rPr/>
        <w:t>____________________</w:t>
      </w:r>
    </w:p>
    <w:p>
      <w:pPr>
        <w:pStyle w:val="null3"/>
        <w:jc w:val="left"/>
      </w:pPr>
      <w:r>
        <w:rPr/>
        <w:t>是否邀请本项目的其他供应商参加验收：</w:t>
      </w:r>
      <w:r>
        <w:rPr/>
        <w:t>是</w:t>
      </w:r>
      <w:r>
        <w:rPr/>
        <w:t>否</w:t>
      </w:r>
    </w:p>
    <w:p>
      <w:pPr>
        <w:pStyle w:val="null3"/>
        <w:jc w:val="left"/>
      </w:pPr>
      <w:r>
        <w:rPr/>
        <w:t>是否邀请专家参加验收：</w:t>
      </w:r>
      <w:r>
        <w:rPr/>
        <w:t>是</w:t>
      </w:r>
      <w:r>
        <w:rPr/>
        <w:t>否</w:t>
      </w:r>
    </w:p>
    <w:p>
      <w:pPr>
        <w:pStyle w:val="null3"/>
        <w:jc w:val="left"/>
      </w:pPr>
      <w:r>
        <w:rPr/>
        <w:t>是否邀请服务对象参加验收：</w:t>
      </w:r>
      <w:r>
        <w:rPr/>
        <w:t>是</w:t>
      </w:r>
      <w:r>
        <w:rPr/>
        <w:t>否</w:t>
      </w:r>
    </w:p>
    <w:p>
      <w:pPr>
        <w:pStyle w:val="null3"/>
        <w:jc w:val="left"/>
      </w:pPr>
      <w:r>
        <w:rPr/>
        <w:t>是否邀请第三方检测机构参加验收：</w:t>
      </w:r>
      <w:r>
        <w:rPr/>
        <w:t>是</w:t>
      </w:r>
      <w:r>
        <w:rPr/>
        <w:t>否</w:t>
      </w:r>
    </w:p>
    <w:p>
      <w:pPr>
        <w:pStyle w:val="null3"/>
        <w:jc w:val="left"/>
      </w:pPr>
      <w:r>
        <w:rPr/>
        <w:t>是否进行抽查检测：</w:t>
      </w:r>
      <w:r>
        <w:rPr/>
        <w:t xml:space="preserve"> 是，抽查比例：</w:t>
      </w:r>
      <w:r>
        <w:rPr/>
        <w:t>__________</w:t>
      </w:r>
      <w:r>
        <w:rPr/>
        <w:t>%</w:t>
      </w:r>
      <w:r>
        <w:rPr/>
        <w:t>否</w:t>
      </w:r>
    </w:p>
    <w:p>
      <w:pPr>
        <w:pStyle w:val="null3"/>
        <w:jc w:val="left"/>
      </w:pPr>
      <w:r>
        <w:rPr/>
        <w:t>是否存在破坏性检测：</w:t>
      </w:r>
      <w:r>
        <w:rPr/>
        <w:t xml:space="preserve"> 是，</w:t>
      </w:r>
      <w:r>
        <w:rPr/>
        <w:t>__________</w:t>
      </w:r>
      <w:r>
        <w:rPr/>
        <w:t>否</w:t>
      </w:r>
    </w:p>
    <w:p>
      <w:pPr>
        <w:pStyle w:val="null3"/>
        <w:jc w:val="left"/>
      </w:pPr>
      <w:r>
        <w:rPr/>
        <w:t>验收组织的其他事项：</w:t>
      </w:r>
      <w:r>
        <w:rPr/>
        <w:t>____________________</w:t>
      </w:r>
    </w:p>
    <w:p>
      <w:pPr>
        <w:pStyle w:val="null3"/>
        <w:jc w:val="left"/>
      </w:pPr>
      <w:r>
        <w:rPr/>
        <w:t>（2）履约验收时间：</w:t>
      </w:r>
      <w:r>
        <w:rPr/>
        <w:t>计划于何时验收/供应商提出验收申请之日起</w:t>
      </w:r>
      <w:r>
        <w:rPr/>
        <w:t>_______</w:t>
      </w:r>
      <w:r>
        <w:rPr/>
        <w:t>日内组织验收</w:t>
      </w:r>
    </w:p>
    <w:p>
      <w:pPr>
        <w:pStyle w:val="null3"/>
        <w:jc w:val="left"/>
      </w:pPr>
      <w:r>
        <w:rPr/>
        <w:t>（3）履约验收方式：</w:t>
      </w:r>
      <w:r>
        <w:rPr/>
        <w:t>一次性验收</w:t>
      </w:r>
      <w:r>
        <w:rPr/>
        <w:t>分期/分项验收：</w:t>
      </w:r>
      <w:r>
        <w:rPr/>
        <w:t>__________</w:t>
      </w:r>
    </w:p>
    <w:p>
      <w:pPr>
        <w:pStyle w:val="null3"/>
        <w:jc w:val="left"/>
      </w:pPr>
      <w:r>
        <w:rPr/>
        <w:t>（4）履约验收程序：</w:t>
      </w:r>
      <w:r>
        <w:rPr/>
        <w:t>____________________</w:t>
      </w:r>
    </w:p>
    <w:p>
      <w:pPr>
        <w:pStyle w:val="null3"/>
        <w:jc w:val="left"/>
      </w:pPr>
      <w:r>
        <w:rPr/>
        <w:t>（5）履约验收的内容：</w:t>
      </w:r>
      <w:r>
        <w:rPr/>
        <w:t>_________（应当包括每一项技术和商务要求的履约情况，特别是落实政府采购扶持中小企业，支持绿色发展和乡村振兴等政策情况）___________</w:t>
      </w:r>
    </w:p>
    <w:p>
      <w:pPr>
        <w:pStyle w:val="null3"/>
        <w:jc w:val="left"/>
      </w:pPr>
      <w:r>
        <w:rPr/>
        <w:t>（6）履约验收标准：</w:t>
      </w:r>
      <w:r>
        <w:rPr/>
        <w:t>_____________________________</w:t>
      </w:r>
    </w:p>
    <w:p>
      <w:pPr>
        <w:pStyle w:val="null3"/>
        <w:jc w:val="left"/>
      </w:pPr>
      <w:r>
        <w:rPr/>
        <w:t>（7）是否以采购活动中供应商提供的样品作为参考：</w:t>
      </w:r>
      <w:r>
        <w:rPr/>
        <w:t>是</w:t>
      </w:r>
      <w:r>
        <w:rPr/>
        <w:t>否</w:t>
      </w:r>
    </w:p>
    <w:p>
      <w:pPr>
        <w:pStyle w:val="null3"/>
        <w:jc w:val="left"/>
      </w:pPr>
      <w:r>
        <w:rPr/>
        <w:t>（8）履约验收其他事项：</w:t>
      </w:r>
      <w:r>
        <w:rPr/>
        <w:t>_______________</w:t>
      </w:r>
    </w:p>
    <w:p>
      <w:pPr>
        <w:pStyle w:val="null3"/>
        <w:jc w:val="left"/>
        <w:outlineLvl w:val="2"/>
      </w:pPr>
      <w:r>
        <w:rPr>
          <w:sz w:val="28"/>
          <w:b/>
        </w:rPr>
        <w:t>5.组成合同的文件</w:t>
      </w:r>
    </w:p>
    <w:p>
      <w:pPr>
        <w:pStyle w:val="null3"/>
        <w:jc w:val="left"/>
      </w:pPr>
      <w:r>
        <w:rPr/>
        <w:t>本协议书与下列文件一起构成合同文件，如下述文件之间有任何抵触、矛盾或歧义，应按以下顺序解释：</w:t>
      </w:r>
    </w:p>
    <w:p>
      <w:pPr>
        <w:pStyle w:val="null3"/>
        <w:jc w:val="left"/>
      </w:pPr>
      <w:r>
        <w:rPr/>
        <w:t>（1）政府采购合同协议书及其变更、补充协议</w:t>
      </w:r>
    </w:p>
    <w:p>
      <w:pPr>
        <w:pStyle w:val="null3"/>
        <w:jc w:val="left"/>
      </w:pPr>
      <w:r>
        <w:rPr/>
        <w:t>（2）政府采购合同专用条款</w:t>
      </w:r>
    </w:p>
    <w:p>
      <w:pPr>
        <w:pStyle w:val="null3"/>
        <w:jc w:val="left"/>
      </w:pPr>
      <w:r>
        <w:rPr/>
        <w:t>（3）政府采购合同通用条款</w:t>
      </w:r>
    </w:p>
    <w:p>
      <w:pPr>
        <w:pStyle w:val="null3"/>
        <w:jc w:val="left"/>
      </w:pPr>
      <w:r>
        <w:rPr/>
        <w:t>（4）中标（成交）通知书</w:t>
      </w:r>
    </w:p>
    <w:p>
      <w:pPr>
        <w:pStyle w:val="null3"/>
        <w:jc w:val="left"/>
      </w:pPr>
      <w:r>
        <w:rPr/>
        <w:t>（5）投标（响应）文件</w:t>
      </w:r>
    </w:p>
    <w:p>
      <w:pPr>
        <w:pStyle w:val="null3"/>
        <w:jc w:val="left"/>
      </w:pPr>
      <w:r>
        <w:rPr/>
        <w:t>（6）采购文件</w:t>
      </w:r>
    </w:p>
    <w:p>
      <w:pPr>
        <w:pStyle w:val="null3"/>
        <w:jc w:val="left"/>
      </w:pPr>
      <w:r>
        <w:rPr/>
        <w:t>（7）有关技术文件，图纸</w:t>
      </w:r>
    </w:p>
    <w:p>
      <w:pPr>
        <w:pStyle w:val="null3"/>
        <w:jc w:val="left"/>
      </w:pPr>
      <w:r>
        <w:rPr/>
        <w:t>（8）国家法律、行政法规和规章制度规定或合同约定的作为合同组成部分的其他文件</w:t>
      </w:r>
    </w:p>
    <w:p>
      <w:pPr>
        <w:pStyle w:val="null3"/>
        <w:jc w:val="left"/>
        <w:outlineLvl w:val="2"/>
      </w:pPr>
      <w:r>
        <w:rPr>
          <w:sz w:val="28"/>
          <w:b/>
        </w:rPr>
        <w:t>6.合同生效</w:t>
      </w:r>
    </w:p>
    <w:p>
      <w:pPr>
        <w:pStyle w:val="null3"/>
        <w:jc w:val="left"/>
      </w:pPr>
      <w:r>
        <w:rPr/>
        <w:t>本合同自</w:t>
      </w:r>
      <w:r>
        <w:rPr/>
        <w:t>____________________</w:t>
      </w:r>
      <w:r>
        <w:rPr/>
        <w:t>生效。</w:t>
      </w:r>
    </w:p>
    <w:p>
      <w:pPr>
        <w:pStyle w:val="null3"/>
        <w:jc w:val="left"/>
        <w:outlineLvl w:val="2"/>
      </w:pPr>
      <w:r>
        <w:rPr>
          <w:sz w:val="28"/>
          <w:b/>
        </w:rPr>
        <w:t>7.合同份数</w:t>
      </w:r>
    </w:p>
    <w:p>
      <w:pPr>
        <w:pStyle w:val="null3"/>
        <w:jc w:val="left"/>
      </w:pPr>
      <w:r>
        <w:rPr/>
        <w:t xml:space="preserve">本合同一式 </w:t>
      </w:r>
      <w:r>
        <w:rPr/>
        <w:t>_______</w:t>
      </w:r>
      <w:r>
        <w:rPr/>
        <w:t xml:space="preserve"> 份，甲方执 </w:t>
      </w:r>
      <w:r>
        <w:rPr/>
        <w:t>_______</w:t>
      </w:r>
      <w:r>
        <w:rPr/>
        <w:t xml:space="preserve"> 份，乙方执 </w:t>
      </w:r>
      <w:r>
        <w:rPr/>
        <w:t>_______</w:t>
      </w:r>
      <w:r>
        <w:rPr/>
        <w:t xml:space="preserve"> 份，均具有同等法律效力。</w:t>
      </w:r>
    </w:p>
    <w:p>
      <w:pPr>
        <w:pStyle w:val="null3"/>
        <w:jc w:val="left"/>
      </w:pPr>
      <w:r>
        <w:rPr/>
        <w:t>合同订立时间：详见本合同封面的签订时间。</w:t>
      </w:r>
    </w:p>
    <w:p>
      <w:pPr>
        <w:pStyle w:val="null3"/>
        <w:jc w:val="left"/>
      </w:pPr>
      <w:r>
        <w:rPr/>
        <w:t>合同订立地点：</w:t>
      </w:r>
      <w:r>
        <w:rPr/>
        <w:t xml:space="preserve"> ____________________________</w:t>
      </w:r>
    </w:p>
    <w:p>
      <w:pPr>
        <w:pStyle w:val="null3"/>
        <w:jc w:val="left"/>
      </w:pPr>
      <w:r>
        <w:rPr/>
        <w:t>附件：具体标的及其技术要求和商务要求、联合协议、分包意向协议等。</w:t>
      </w:r>
      <w:r>
        <w:br/>
      </w:r>
      <w:r>
        <w:br/>
      </w:r>
      <w:r>
        <w:br/>
      </w:r>
    </w:p>
    <w:p>
      <w:pPr>
        <w:pStyle w:val="null3"/>
        <w:jc w:val="left"/>
      </w:pPr>
      <w:r>
        <w:rPr/>
        <w:t>甲方（采购人、受采购人委托签订合同的单位或采购文件约定的合同甲方）</w:t>
      </w:r>
    </w:p>
    <w:p>
      <w:pPr>
        <w:pStyle w:val="null3"/>
        <w:jc w:val="left"/>
      </w:pPr>
      <w:r>
        <w:rPr/>
        <w:t xml:space="preserve"> 单位名称（公章或合同章）： </w:t>
      </w:r>
      <w:r>
        <w:rPr/>
        <w:t>{{未填写}}</w:t>
      </w:r>
      <w:r>
        <w:rPr/>
        <w:t>（盖章）</w:t>
      </w:r>
    </w:p>
    <w:p>
      <w:pPr>
        <w:pStyle w:val="null3"/>
        <w:jc w:val="left"/>
      </w:pPr>
      <w:r>
        <w:rPr/>
        <w:t xml:space="preserve"> 法定代表人或其委托代理人（签章）：</w:t>
      </w:r>
      <w:r>
        <w:rPr/>
        <w:t>{{未填写}}</w:t>
      </w:r>
    </w:p>
    <w:p>
      <w:pPr>
        <w:pStyle w:val="null3"/>
        <w:jc w:val="left"/>
      </w:pPr>
      <w:r>
        <w:rPr/>
        <w:t xml:space="preserve"> 住 所：</w:t>
      </w:r>
      <w:r>
        <w:rPr/>
        <w:t>{{未填写}}</w:t>
      </w:r>
    </w:p>
    <w:p>
      <w:pPr>
        <w:pStyle w:val="null3"/>
        <w:jc w:val="left"/>
      </w:pPr>
      <w:r>
        <w:rPr/>
        <w:t xml:space="preserve"> 联 系 人：</w:t>
      </w:r>
      <w:r>
        <w:rPr/>
        <w:t>{{未填写}}</w:t>
      </w:r>
    </w:p>
    <w:p>
      <w:pPr>
        <w:pStyle w:val="null3"/>
        <w:jc w:val="left"/>
      </w:pPr>
      <w:r>
        <w:rPr/>
        <w:t xml:space="preserve"> 联系电话：</w:t>
      </w:r>
      <w:r>
        <w:rPr/>
        <w:t>{{未填写}}</w:t>
      </w:r>
    </w:p>
    <w:p>
      <w:pPr>
        <w:pStyle w:val="null3"/>
        <w:jc w:val="left"/>
      </w:pPr>
      <w:r>
        <w:rPr/>
        <w:t xml:space="preserve"> 通信地址：</w:t>
      </w:r>
      <w:r>
        <w:rPr/>
        <w:t>{{未填写}}</w:t>
      </w:r>
    </w:p>
    <w:p>
      <w:pPr>
        <w:pStyle w:val="null3"/>
        <w:jc w:val="left"/>
      </w:pPr>
      <w:r>
        <w:rPr/>
        <w:t xml:space="preserve"> 邮政编码：</w:t>
      </w:r>
      <w:r>
        <w:rPr/>
        <w:t>{{未填写}}</w:t>
      </w:r>
    </w:p>
    <w:p>
      <w:pPr>
        <w:pStyle w:val="null3"/>
        <w:jc w:val="left"/>
      </w:pPr>
      <w:r>
        <w:rPr/>
        <w:t xml:space="preserve"> 电子邮箱：</w:t>
      </w:r>
      <w:r>
        <w:rPr/>
        <w:t>{{未填写}}</w:t>
      </w:r>
    </w:p>
    <w:p>
      <w:pPr>
        <w:pStyle w:val="null3"/>
        <w:jc w:val="left"/>
      </w:pPr>
      <w:r>
        <w:rPr/>
        <w:t xml:space="preserve"> 统一社会信用代码：</w:t>
      </w:r>
      <w:r>
        <w:rPr/>
        <w:t>{{未填写}}</w:t>
      </w:r>
    </w:p>
    <w:p>
      <w:pPr>
        <w:pStyle w:val="null3"/>
        <w:jc w:val="left"/>
      </w:pPr>
      <w:r>
        <w:rPr/>
        <w:t xml:space="preserve"> </w:t>
      </w:r>
    </w:p>
    <w:p>
      <w:pPr>
        <w:pStyle w:val="null3"/>
        <w:jc w:val="center"/>
        <w:outlineLvl w:val="1"/>
      </w:pPr>
      <w:r>
        <w:rPr>
          <w:sz w:val="36"/>
          <w:b/>
        </w:rPr>
        <w:t>第二节 政府采购合同通用条款</w:t>
      </w:r>
    </w:p>
    <w:p>
      <w:pPr>
        <w:pStyle w:val="null3"/>
        <w:jc w:val="left"/>
        <w:outlineLvl w:val="2"/>
      </w:pPr>
      <w:r>
        <w:rPr>
          <w:sz w:val="28"/>
          <w:b/>
        </w:rPr>
        <w:t>1. 定义</w:t>
      </w:r>
    </w:p>
    <w:p>
      <w:pPr>
        <w:pStyle w:val="null3"/>
        <w:jc w:val="left"/>
      </w:pPr>
      <w:r>
        <w:rPr/>
        <w:t>1.1合同当事人</w:t>
      </w:r>
    </w:p>
    <w:p>
      <w:pPr>
        <w:pStyle w:val="null3"/>
        <w:jc w:val="left"/>
      </w:pPr>
      <w:r>
        <w:rPr/>
        <w:t>（1）采购人（以下称甲方）是指使用财政性资金，通过政府采购方式向供应商购买货物及其相关服务的国家机关、事业单位、团体组织。</w:t>
      </w:r>
    </w:p>
    <w:p>
      <w:pPr>
        <w:pStyle w:val="null3"/>
        <w:jc w:val="left"/>
      </w:pPr>
      <w:r>
        <w:rPr/>
        <w:t>（2）供应商（以下称乙方）是指参加政府采购活动并且中标（成交），向采购人提供合同约定的货物及其相关服务的法人、非法人组织或者自然人。</w:t>
      </w:r>
    </w:p>
    <w:p>
      <w:pPr>
        <w:pStyle w:val="null3"/>
        <w:jc w:val="left"/>
      </w:pPr>
      <w:r>
        <w:rPr/>
        <w:t>（3）其他合同主体是指除采购人和供应商以外，依法参与合同缔结或履行，享有权利、承担义务的合同当事人。</w:t>
      </w:r>
    </w:p>
    <w:p>
      <w:pPr>
        <w:pStyle w:val="null3"/>
        <w:jc w:val="left"/>
      </w:pPr>
      <w:r>
        <w:rPr/>
        <w:t>1.2本合同下列术语应解释为：</w:t>
      </w:r>
    </w:p>
    <w:p>
      <w:pPr>
        <w:pStyle w:val="null3"/>
        <w:jc w:val="left"/>
      </w:pPr>
      <w:r>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t>（2）“合同价款”系指根据本合同规定乙方在全面履行合同义务后甲方应支付给乙方的价款。</w:t>
      </w:r>
    </w:p>
    <w:p>
      <w:pPr>
        <w:pStyle w:val="null3"/>
        <w:jc w:val="left"/>
      </w:pPr>
      <w:r>
        <w:rPr/>
        <w:t>（3）“货物”系指乙方根据本合同规定须向甲方提供的各种形态和种类的物品，包括原材料、设备、产品（包括软件）及相关的其备品备件、工具、手册及其他技术资料和材料等。</w:t>
      </w:r>
    </w:p>
    <w:p>
      <w:pPr>
        <w:pStyle w:val="null3"/>
        <w:jc w:val="left"/>
      </w:pPr>
      <w:r>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t>（5）“分包”系指中标（成交）供应商按采购文件、投标（响应）文件的规定，根据分包意向协议，将中标（成交）项目中的部分履约内容，分给具有相应资质条件的供应商履行合同的行为。</w:t>
      </w:r>
    </w:p>
    <w:p>
      <w:pPr>
        <w:pStyle w:val="null3"/>
        <w:jc w:val="left"/>
      </w:pPr>
      <w:r>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b/>
        </w:rPr>
        <w:t>【政府采购合同专用条款】</w:t>
      </w:r>
      <w:r>
        <w:rPr/>
        <w:t>。</w:t>
      </w:r>
    </w:p>
    <w:p>
      <w:pPr>
        <w:pStyle w:val="null3"/>
        <w:jc w:val="left"/>
      </w:pPr>
      <w:r>
        <w:rPr/>
        <w:t>（7）其他术语解释，见</w:t>
      </w:r>
      <w:r>
        <w:rPr>
          <w:b/>
        </w:rPr>
        <w:t>【政府采购合同专用条款】</w:t>
      </w:r>
      <w:r>
        <w:rPr/>
        <w:t>。</w:t>
      </w:r>
    </w:p>
    <w:p>
      <w:pPr>
        <w:pStyle w:val="null3"/>
        <w:jc w:val="left"/>
        <w:outlineLvl w:val="2"/>
      </w:pPr>
      <w:r>
        <w:rPr>
          <w:sz w:val="28"/>
          <w:b/>
        </w:rPr>
        <w:t>2.合同标的及金额</w:t>
      </w:r>
    </w:p>
    <w:p>
      <w:pPr>
        <w:pStyle w:val="null3"/>
        <w:jc w:val="left"/>
      </w:pPr>
      <w:r>
        <w:rPr/>
        <w:t>2.1 合同标的及金额应与中标（成交）结果一致。乙方为履行本合同而发生的所有费用均应包含在合同价款中，甲方不再另行支付其他任何费用。</w:t>
      </w:r>
    </w:p>
    <w:p>
      <w:pPr>
        <w:pStyle w:val="null3"/>
        <w:jc w:val="left"/>
        <w:outlineLvl w:val="2"/>
      </w:pPr>
      <w:r>
        <w:rPr>
          <w:sz w:val="28"/>
          <w:b/>
        </w:rPr>
        <w:t>3. 履行合同的时间、地点和方式</w:t>
      </w:r>
    </w:p>
    <w:p>
      <w:pPr>
        <w:pStyle w:val="null3"/>
        <w:jc w:val="left"/>
      </w:pPr>
      <w:r>
        <w:rPr/>
        <w:t>3.1 乙方应当在约定的时间、地点，按照约定方式履行合同。</w:t>
      </w:r>
    </w:p>
    <w:p>
      <w:pPr>
        <w:pStyle w:val="null3"/>
        <w:jc w:val="left"/>
        <w:outlineLvl w:val="2"/>
      </w:pPr>
      <w:r>
        <w:rPr>
          <w:sz w:val="28"/>
          <w:b/>
        </w:rPr>
        <w:t>4. 甲方的权利和义务</w:t>
      </w:r>
    </w:p>
    <w:p>
      <w:pPr>
        <w:pStyle w:val="null3"/>
        <w:jc w:val="left"/>
      </w:pPr>
      <w:r>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t>4.2 甲方有权要求乙方按时提交各阶段有关安排计划，并有权定期核对乙方提供货物数量、规格、质量等内容。甲方有权督促乙方工作并要求乙方更换不符合要求的货物。</w:t>
      </w:r>
    </w:p>
    <w:p>
      <w:pPr>
        <w:pStyle w:val="null3"/>
        <w:jc w:val="left"/>
      </w:pPr>
      <w:r>
        <w:rPr/>
        <w:t>4.3 甲方有权要求乙方对缺陷部分予以修复，并按合同约定享有货物保修及其他合同约定的权利。</w:t>
      </w:r>
    </w:p>
    <w:p>
      <w:pPr>
        <w:pStyle w:val="null3"/>
        <w:jc w:val="left"/>
      </w:pPr>
      <w:r>
        <w:rPr/>
        <w:t>4.4 甲方应当按照合同约定及时对交付的货物进行验收，未在</w:t>
      </w:r>
      <w:r>
        <w:rPr>
          <w:b/>
        </w:rPr>
        <w:t>【政府采购合同专用条款】</w:t>
      </w:r>
      <w:r>
        <w:rPr/>
        <w:t>约定的期限内对乙方履约提出任何异议或者向乙方作出任何说明的，视为验收通过。</w:t>
      </w:r>
    </w:p>
    <w:p>
      <w:pPr>
        <w:pStyle w:val="null3"/>
        <w:jc w:val="left"/>
      </w:pPr>
      <w:r>
        <w:rPr/>
        <w:t>4.5 甲方应当根据合同约定及时向乙方支付合同价款，不得以内部人员变更、履行内部付款流程等为由，拒绝或迟延支付。</w:t>
      </w:r>
    </w:p>
    <w:p>
      <w:pPr>
        <w:pStyle w:val="null3"/>
        <w:jc w:val="left"/>
      </w:pPr>
      <w:r>
        <w:rPr/>
        <w:t>4.6 国家法律法规规定及</w:t>
      </w:r>
      <w:r>
        <w:rPr>
          <w:b/>
        </w:rPr>
        <w:t>【政府采购合同专用条款】</w:t>
      </w:r>
      <w:r>
        <w:rPr/>
        <w:t>约定应由甲方承担的其他义务和责任。</w:t>
      </w:r>
    </w:p>
    <w:p>
      <w:pPr>
        <w:pStyle w:val="null3"/>
        <w:jc w:val="left"/>
        <w:outlineLvl w:val="2"/>
      </w:pPr>
      <w:r>
        <w:rPr>
          <w:sz w:val="28"/>
          <w:b/>
        </w:rPr>
        <w:t>5. 乙方的权利和义务</w:t>
      </w:r>
    </w:p>
    <w:p>
      <w:pPr>
        <w:pStyle w:val="null3"/>
        <w:jc w:val="left"/>
      </w:pPr>
      <w:r>
        <w:rPr/>
        <w:t>5.1 签署合同后，乙方应确定项目负责人（或项目联系人），负责与本合同有关的事务。</w:t>
      </w:r>
    </w:p>
    <w:p>
      <w:pPr>
        <w:pStyle w:val="null3"/>
        <w:jc w:val="left"/>
      </w:pPr>
      <w:r>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t>5.3乙方有权根据合同约定向甲方收取合同价款。</w:t>
      </w:r>
    </w:p>
    <w:p>
      <w:pPr>
        <w:pStyle w:val="null3"/>
        <w:jc w:val="left"/>
      </w:pPr>
      <w:r>
        <w:rPr/>
        <w:t>5.4国家法律法规规定及</w:t>
      </w:r>
      <w:r>
        <w:rPr>
          <w:b/>
        </w:rPr>
        <w:t>【政府采购合同专用条款】</w:t>
      </w:r>
      <w:r>
        <w:rPr/>
        <w:t>约定应由乙方承担的其他义务和责任。</w:t>
      </w:r>
    </w:p>
    <w:p>
      <w:pPr>
        <w:pStyle w:val="null3"/>
        <w:jc w:val="left"/>
        <w:outlineLvl w:val="2"/>
      </w:pPr>
      <w:r>
        <w:rPr>
          <w:sz w:val="28"/>
          <w:b/>
        </w:rPr>
        <w:t>6.合同履行</w:t>
      </w:r>
    </w:p>
    <w:p>
      <w:pPr>
        <w:pStyle w:val="null3"/>
        <w:jc w:val="left"/>
      </w:pPr>
      <w:r>
        <w:rPr/>
        <w:t>6.1 甲乙双方应当按照</w:t>
      </w:r>
      <w:r>
        <w:rPr>
          <w:b/>
        </w:rPr>
        <w:t>【政府采购合同专用条款】</w:t>
      </w:r>
      <w:r>
        <w:rPr/>
        <w:t>约定顺序履行合同义务；如果没有先后顺序的，应当同时履行。</w:t>
      </w:r>
    </w:p>
    <w:p>
      <w:pPr>
        <w:pStyle w:val="null3"/>
        <w:jc w:val="left"/>
      </w:pPr>
      <w:r>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sz w:val="28"/>
          <w:b/>
        </w:rPr>
        <w:t>7. 货物包装、运输、保险和交付要求</w:t>
      </w:r>
    </w:p>
    <w:p>
      <w:pPr>
        <w:pStyle w:val="null3"/>
        <w:jc w:val="left"/>
      </w:pPr>
      <w:r>
        <w:rPr/>
        <w:t>7.1 本合同涉及商品包装、快递包装的，除</w:t>
      </w:r>
      <w:r>
        <w:rPr>
          <w:b/>
        </w:rPr>
        <w:t>【政府采购合同专用条款】</w:t>
      </w:r>
      <w:r>
        <w:rPr/>
        <w:t>另有约定外，包装应适应远距离运输、防潮、防震、防锈和防野蛮装卸等要求，确保货物安全无损地运抵</w:t>
      </w:r>
      <w:r>
        <w:rPr>
          <w:b/>
        </w:rPr>
        <w:t>【政府采购合同专用条款】</w:t>
      </w:r>
      <w:r>
        <w:rPr/>
        <w:t>约定的指定现场。</w:t>
      </w:r>
    </w:p>
    <w:p>
      <w:pPr>
        <w:pStyle w:val="null3"/>
        <w:jc w:val="left"/>
      </w:pPr>
      <w:r>
        <w:rPr/>
        <w:t>7.2 除</w:t>
      </w:r>
      <w:r>
        <w:rPr>
          <w:b/>
        </w:rPr>
        <w:t>【政府采购合同专用条款】</w:t>
      </w:r>
      <w:r>
        <w:rPr/>
        <w:t>另有约定外，乙方负责办理将货物运抵本合同规定的交货地点，并装卸、交付至甲方的一切运输事项，相关费用应包含在合同价款中。</w:t>
      </w:r>
    </w:p>
    <w:p>
      <w:pPr>
        <w:pStyle w:val="null3"/>
        <w:jc w:val="left"/>
      </w:pPr>
      <w:r>
        <w:rPr/>
        <w:t>7.3 货物保险要求按</w:t>
      </w:r>
      <w:r>
        <w:rPr>
          <w:b/>
        </w:rPr>
        <w:t>【政府采购合同专用条款】</w:t>
      </w:r>
      <w:r>
        <w:rPr/>
        <w:t>规定执行。</w:t>
      </w:r>
    </w:p>
    <w:p>
      <w:pPr>
        <w:pStyle w:val="null3"/>
        <w:jc w:val="left"/>
      </w:pPr>
      <w:r>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t>7.5 乙方在运输到达之前应提前通知甲方，并提示货物运输装卸的注意事项，甲方配合乙方做好货物的接收工作。</w:t>
      </w:r>
    </w:p>
    <w:p>
      <w:pPr>
        <w:pStyle w:val="null3"/>
        <w:jc w:val="left"/>
      </w:pPr>
      <w:r>
        <w:rPr/>
        <w:t>7.6 如因包装、运输问题导致货物损毁、丢失或者品质下降，甲方有权要求降价、换货、拒收部分或整批货物，由此产生的费用和损失，均由乙方承担。</w:t>
      </w:r>
    </w:p>
    <w:p>
      <w:pPr>
        <w:pStyle w:val="null3"/>
        <w:jc w:val="left"/>
        <w:outlineLvl w:val="2"/>
      </w:pPr>
      <w:r>
        <w:rPr>
          <w:sz w:val="28"/>
          <w:b/>
        </w:rPr>
        <w:t>8. 质量标准和保证</w:t>
      </w:r>
    </w:p>
    <w:p>
      <w:pPr>
        <w:pStyle w:val="null3"/>
        <w:jc w:val="left"/>
      </w:pPr>
      <w:r>
        <w:rPr/>
        <w:t>8.1 质量标准</w:t>
      </w:r>
    </w:p>
    <w:p>
      <w:pPr>
        <w:pStyle w:val="null3"/>
        <w:jc w:val="left"/>
      </w:pPr>
      <w:r>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t>（2）采用中华人民共和国法定计量单位。</w:t>
      </w:r>
    </w:p>
    <w:p>
      <w:pPr>
        <w:pStyle w:val="null3"/>
        <w:jc w:val="left"/>
      </w:pPr>
      <w:r>
        <w:rPr/>
        <w:t>（3）乙方所提供的货物应符合国家有关安全、环保、卫生的规定。</w:t>
      </w:r>
    </w:p>
    <w:p>
      <w:pPr>
        <w:pStyle w:val="null3"/>
        <w:jc w:val="left"/>
      </w:pPr>
      <w:r>
        <w:rPr/>
        <w:t>（4）乙方应向甲方提交所提供货物的技术文件，包括相应的中文技术文件，如：产品目录、图纸、操作手册、使用说明、维护手册或服务指南等。上述文件应包装好随货物一同发运。</w:t>
      </w:r>
    </w:p>
    <w:p>
      <w:pPr>
        <w:pStyle w:val="null3"/>
        <w:jc w:val="left"/>
      </w:pPr>
      <w:r>
        <w:rPr/>
        <w:t>8.2 保证</w:t>
      </w:r>
    </w:p>
    <w:p>
      <w:pPr>
        <w:pStyle w:val="null3"/>
        <w:jc w:val="left"/>
      </w:pPr>
      <w:r>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t>（2）在质量保证期内所发现的缺陷，甲方应尽快以书面形式通知乙方。</w:t>
      </w:r>
    </w:p>
    <w:p>
      <w:pPr>
        <w:pStyle w:val="null3"/>
        <w:jc w:val="left"/>
      </w:pPr>
      <w:r>
        <w:rPr/>
        <w:t>（3）乙方收到通知后，应在【政府采购合同专用条款】规定的响应时间内以合理的速度免费维修或更换有缺陷的货物或部件。</w:t>
      </w:r>
    </w:p>
    <w:p>
      <w:pPr>
        <w:pStyle w:val="null3"/>
        <w:jc w:val="left"/>
      </w:pPr>
      <w:r>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t>（5）乙方在约定的时间内未能弥补缺陷，甲方可采取必要的补救措施，但其风险和费用将由乙方承担，甲方根据合同约定对乙方行使的其他权利不受影响。</w:t>
      </w:r>
    </w:p>
    <w:p>
      <w:pPr>
        <w:pStyle w:val="null3"/>
        <w:jc w:val="left"/>
        <w:outlineLvl w:val="2"/>
      </w:pPr>
      <w:r>
        <w:rPr>
          <w:sz w:val="28"/>
          <w:b/>
        </w:rPr>
        <w:t>9. 权利瑕疵担保</w:t>
      </w:r>
    </w:p>
    <w:p>
      <w:pPr>
        <w:pStyle w:val="null3"/>
        <w:jc w:val="left"/>
      </w:pPr>
      <w:r>
        <w:rPr/>
        <w:t>9.1 乙方保证对其出售的货物享有合法的权利。</w:t>
      </w:r>
    </w:p>
    <w:p>
      <w:pPr>
        <w:pStyle w:val="null3"/>
        <w:jc w:val="left"/>
      </w:pPr>
      <w:r>
        <w:rPr/>
        <w:t>9.2 乙方保证在交付的货物上不存在抵押权等担保物权。</w:t>
      </w:r>
    </w:p>
    <w:p>
      <w:pPr>
        <w:pStyle w:val="null3"/>
        <w:jc w:val="left"/>
      </w:pPr>
      <w:r>
        <w:rPr/>
        <w:t>9.3 如甲方使用上述货物构成对第三人侵权的，则由乙方承担全部责任。</w:t>
      </w:r>
    </w:p>
    <w:p>
      <w:pPr>
        <w:pStyle w:val="null3"/>
        <w:jc w:val="left"/>
        <w:outlineLvl w:val="2"/>
      </w:pPr>
      <w:r>
        <w:rPr>
          <w:sz w:val="28"/>
          <w:b/>
        </w:rPr>
        <w:t>10. 知识产权保护</w:t>
      </w:r>
    </w:p>
    <w:p>
      <w:pPr>
        <w:pStyle w:val="null3"/>
        <w:jc w:val="left"/>
      </w:pPr>
      <w:r>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sz w:val="28"/>
          <w:b/>
        </w:rPr>
        <w:t>11. 保密义务</w:t>
      </w:r>
    </w:p>
    <w:p>
      <w:pPr>
        <w:pStyle w:val="null3"/>
        <w:jc w:val="left"/>
      </w:pPr>
      <w:r>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b/>
        </w:rPr>
        <w:t>【政府采购合同专用条款】</w:t>
      </w:r>
      <w:r>
        <w:rPr/>
        <w:t>中约定。</w:t>
      </w:r>
    </w:p>
    <w:p>
      <w:pPr>
        <w:pStyle w:val="null3"/>
        <w:jc w:val="left"/>
        <w:outlineLvl w:val="2"/>
      </w:pPr>
      <w:r>
        <w:rPr>
          <w:sz w:val="28"/>
          <w:b/>
        </w:rPr>
        <w:t>12. 合同价款支付</w:t>
      </w:r>
    </w:p>
    <w:p>
      <w:pPr>
        <w:pStyle w:val="null3"/>
        <w:jc w:val="left"/>
      </w:pPr>
      <w:r>
        <w:rPr/>
        <w:t>12.1 合同价款支付按照国库集中支付制度及财政管理相关规定执行。</w:t>
      </w:r>
    </w:p>
    <w:p>
      <w:pPr>
        <w:pStyle w:val="null3"/>
        <w:jc w:val="left"/>
      </w:pPr>
      <w:r>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b/>
        </w:rPr>
        <w:t>【政府采购合同专用条款】</w:t>
      </w:r>
      <w:r>
        <w:rPr/>
        <w:t>中约定。</w:t>
      </w:r>
    </w:p>
    <w:p>
      <w:pPr>
        <w:pStyle w:val="null3"/>
        <w:jc w:val="left"/>
        <w:outlineLvl w:val="2"/>
      </w:pPr>
      <w:r>
        <w:rPr>
          <w:sz w:val="28"/>
          <w:b/>
        </w:rPr>
        <w:t>13. 履约保证金</w:t>
      </w:r>
    </w:p>
    <w:p>
      <w:pPr>
        <w:pStyle w:val="null3"/>
        <w:jc w:val="left"/>
      </w:pPr>
      <w:r>
        <w:rPr/>
        <w:t>13.1 乙方应当以支票、汇票、本票或者金融机构、担保机构出具的保函等非现金形式提交。</w:t>
      </w:r>
    </w:p>
    <w:p>
      <w:pPr>
        <w:pStyle w:val="null3"/>
        <w:jc w:val="left"/>
      </w:pPr>
      <w:r>
        <w:rPr/>
        <w:t>13.2 如果乙方出现</w:t>
      </w:r>
      <w:r>
        <w:rPr>
          <w:b/>
        </w:rPr>
        <w:t>【政府采购合同专用条款】</w:t>
      </w:r>
      <w:r>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t>13.3 甲方在项目通过验收后按照</w:t>
      </w:r>
      <w:r>
        <w:rPr>
          <w:b/>
        </w:rPr>
        <w:t>【政府采购合同专用条款】</w:t>
      </w:r>
      <w:r>
        <w:rPr/>
        <w:t>规定的时间内将履约保证金退还乙方；逾期退还的，乙方可要求甲方支付违约金，违约金按照</w:t>
      </w:r>
      <w:r>
        <w:rPr>
          <w:b/>
        </w:rPr>
        <w:t>【政府采购合同专用条款】</w:t>
      </w:r>
      <w:r>
        <w:rPr/>
        <w:t>规定支付。</w:t>
      </w:r>
    </w:p>
    <w:p>
      <w:pPr>
        <w:pStyle w:val="null3"/>
        <w:jc w:val="left"/>
        <w:outlineLvl w:val="2"/>
      </w:pPr>
      <w:r>
        <w:rPr>
          <w:sz w:val="28"/>
          <w:b/>
        </w:rPr>
        <w:t>14. 售后服务</w:t>
      </w:r>
    </w:p>
    <w:p>
      <w:pPr>
        <w:pStyle w:val="null3"/>
        <w:jc w:val="left"/>
      </w:pPr>
      <w:r>
        <w:rPr/>
        <w:t>14.1 除项目不涉及或采购活动中明确约定无须承担外，乙方还应提供下列服务：</w:t>
      </w:r>
    </w:p>
    <w:p>
      <w:pPr>
        <w:pStyle w:val="null3"/>
        <w:jc w:val="left"/>
      </w:pPr>
      <w:r>
        <w:rPr/>
        <w:t>（1）货物的现场移动、安装、调试、启动监督及技术支持；</w:t>
      </w:r>
    </w:p>
    <w:p>
      <w:pPr>
        <w:pStyle w:val="null3"/>
        <w:jc w:val="left"/>
      </w:pPr>
      <w:r>
        <w:rPr/>
        <w:t>（2）提供货物组装和维修所需的专用工具和辅助材料；</w:t>
      </w:r>
    </w:p>
    <w:p>
      <w:pPr>
        <w:pStyle w:val="null3"/>
        <w:jc w:val="left"/>
      </w:pPr>
      <w:r>
        <w:rPr/>
        <w:t>（3）在</w:t>
      </w:r>
      <w:r>
        <w:rPr>
          <w:b/>
        </w:rPr>
        <w:t>【政府采购合同专用条款】</w:t>
      </w:r>
      <w:r>
        <w:rPr/>
        <w:t>约定的期限内对所有的货物实施运行监督、维修，但前提条件是该服务并不能免除乙方在质量保证期内所承担的义务；</w:t>
      </w:r>
    </w:p>
    <w:p>
      <w:pPr>
        <w:pStyle w:val="null3"/>
        <w:jc w:val="left"/>
      </w:pPr>
      <w:r>
        <w:rPr/>
        <w:t>（4）在制造商所在地或指定现场就货物的安装、启动、运营、维护、废弃处置等对甲方操作人员进行培训；</w:t>
      </w:r>
    </w:p>
    <w:p>
      <w:pPr>
        <w:pStyle w:val="null3"/>
        <w:jc w:val="left"/>
      </w:pPr>
      <w:r>
        <w:rPr/>
        <w:t>（5）依照法律、行政法规的规定或者按照</w:t>
      </w:r>
      <w:r>
        <w:rPr>
          <w:b/>
        </w:rPr>
        <w:t>【政府采购合同专用条款】</w:t>
      </w:r>
      <w:r>
        <w:rPr/>
        <w:t>约定，货物在有效使用年限届满后应予回收的，乙方负有自行或者委托第三人对货物予以回收的义务；</w:t>
      </w:r>
    </w:p>
    <w:p>
      <w:pPr>
        <w:pStyle w:val="null3"/>
        <w:jc w:val="left"/>
      </w:pPr>
      <w:r>
        <w:rPr/>
        <w:t>（6）</w:t>
      </w:r>
      <w:r>
        <w:rPr>
          <w:b/>
        </w:rPr>
        <w:t>【政府采购合同专用条款】</w:t>
      </w:r>
      <w:r>
        <w:rPr/>
        <w:t>规定由乙方提供的其他服务。</w:t>
      </w:r>
    </w:p>
    <w:p>
      <w:pPr>
        <w:pStyle w:val="null3"/>
        <w:jc w:val="left"/>
      </w:pPr>
      <w:r>
        <w:rPr/>
        <w:t>14.2 乙方提供的售后服务的费用已包含在合同价款中，甲方不再另行支付。</w:t>
      </w:r>
    </w:p>
    <w:p>
      <w:pPr>
        <w:pStyle w:val="null3"/>
        <w:jc w:val="left"/>
        <w:outlineLvl w:val="2"/>
      </w:pPr>
      <w:r>
        <w:rPr>
          <w:sz w:val="28"/>
          <w:b/>
        </w:rPr>
        <w:t>15. 违约责任</w:t>
      </w:r>
    </w:p>
    <w:p>
      <w:pPr>
        <w:pStyle w:val="null3"/>
        <w:jc w:val="left"/>
      </w:pPr>
      <w:r>
        <w:rPr/>
        <w:t>15.1质量瑕疵的违约责任</w:t>
      </w:r>
    </w:p>
    <w:p>
      <w:pPr>
        <w:pStyle w:val="null3"/>
        <w:jc w:val="left"/>
      </w:pPr>
      <w:r>
        <w:rPr/>
        <w:t>乙方提供的产品不符合合同约定的质量标准或存在产品质量缺陷，甲方有权要求乙方根据</w:t>
      </w:r>
      <w:r>
        <w:rPr>
          <w:b/>
        </w:rPr>
        <w:t>【政府采购合同专用条款】</w:t>
      </w:r>
      <w:r>
        <w:rPr/>
        <w:t>要求及时修理、重作、更换，并承担由此给甲方造成的损失。</w:t>
      </w:r>
    </w:p>
    <w:p>
      <w:pPr>
        <w:pStyle w:val="null3"/>
        <w:jc w:val="left"/>
      </w:pPr>
      <w:r>
        <w:rPr/>
        <w:t>15.2 迟延交货的违约责任</w:t>
      </w:r>
    </w:p>
    <w:p>
      <w:pPr>
        <w:pStyle w:val="null3"/>
        <w:jc w:val="left"/>
      </w:pPr>
      <w:r>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t>（2）如果乙方没有按照合同规定的时间交货和提供相关服务，甲方有权从货款中扣除误期赔偿费而不影响合同项下的其他补救方法，赔偿费按</w:t>
      </w:r>
      <w:r>
        <w:rPr>
          <w:b/>
        </w:rPr>
        <w:t>【政府采购合同专用条款】</w:t>
      </w:r>
      <w:r>
        <w:rPr/>
        <w:t>规定执行。如果涉及公共利益，且赔偿金额无法弥补公共利益损失，甲方可要求继续履行或者采取其他补救措施。</w:t>
      </w:r>
    </w:p>
    <w:p>
      <w:pPr>
        <w:pStyle w:val="null3"/>
        <w:jc w:val="left"/>
      </w:pPr>
      <w:r>
        <w:rPr/>
        <w:t>15.3 迟延支付的违约责任</w:t>
      </w:r>
    </w:p>
    <w:p>
      <w:pPr>
        <w:pStyle w:val="null3"/>
        <w:jc w:val="left"/>
      </w:pPr>
      <w:r>
        <w:rPr/>
        <w:t>甲方存在迟延支付乙方合同款项的，应当承担</w:t>
      </w:r>
      <w:r>
        <w:rPr>
          <w:b/>
        </w:rPr>
        <w:t>【政府采购合同专用条款】</w:t>
      </w:r>
      <w:r>
        <w:rPr/>
        <w:t>规定的逾期付款利息。</w:t>
      </w:r>
    </w:p>
    <w:p>
      <w:pPr>
        <w:pStyle w:val="null3"/>
        <w:jc w:val="left"/>
      </w:pPr>
      <w:r>
        <w:rPr/>
        <w:t>15.4其他违约责任根据项目实际需要按</w:t>
      </w:r>
      <w:r>
        <w:rPr>
          <w:b/>
        </w:rPr>
        <w:t>【政府采购合同专用条款】</w:t>
      </w:r>
      <w:r>
        <w:rPr/>
        <w:t>规定执行。</w:t>
      </w:r>
    </w:p>
    <w:p>
      <w:pPr>
        <w:pStyle w:val="null3"/>
        <w:jc w:val="left"/>
        <w:outlineLvl w:val="2"/>
      </w:pPr>
      <w:r>
        <w:rPr>
          <w:sz w:val="28"/>
          <w:b/>
        </w:rPr>
        <w:t>16.合同变更、中止与终止</w:t>
      </w:r>
    </w:p>
    <w:p>
      <w:pPr>
        <w:pStyle w:val="null3"/>
        <w:jc w:val="left"/>
      </w:pPr>
      <w:r>
        <w:rPr/>
        <w:t xml:space="preserve"> 16.1合同的变更</w:t>
      </w:r>
    </w:p>
    <w:p>
      <w:pPr>
        <w:pStyle w:val="null3"/>
        <w:jc w:val="left"/>
      </w:pPr>
      <w:r>
        <w:rPr/>
        <w:t>政府采购合同履行中，在不改变合同其他条款的前提下，甲方可以在合同价款10%的范围内追加与合同标的相同的货物，并就此与乙方协商一致后签订补充协议。</w:t>
      </w:r>
    </w:p>
    <w:p>
      <w:pPr>
        <w:pStyle w:val="null3"/>
        <w:jc w:val="left"/>
      </w:pPr>
      <w:r>
        <w:rPr/>
        <w:t>16.2合同的中止</w:t>
      </w:r>
    </w:p>
    <w:p>
      <w:pPr>
        <w:pStyle w:val="null3"/>
        <w:jc w:val="left"/>
      </w:pPr>
      <w:r>
        <w:rPr/>
        <w:t>（1）合同履行过程中因供应商就采购文件、采购过程或结果提起投诉的，甲方认为有必要的，可以中止合同的履行。</w:t>
      </w:r>
    </w:p>
    <w:p>
      <w:pPr>
        <w:pStyle w:val="null3"/>
        <w:jc w:val="left"/>
      </w:pPr>
      <w:r>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t>（4）甲方不得以行政区划调整、政府换届、机构或者职能调整以及相关责任人更替为由中止合同。</w:t>
      </w:r>
    </w:p>
    <w:p>
      <w:pPr>
        <w:pStyle w:val="null3"/>
        <w:jc w:val="left"/>
      </w:pPr>
      <w:r>
        <w:rPr/>
        <w:t>16.3合同的终止</w:t>
      </w:r>
    </w:p>
    <w:p>
      <w:pPr>
        <w:pStyle w:val="null3"/>
        <w:jc w:val="left"/>
      </w:pPr>
      <w:r>
        <w:rPr/>
        <w:t>（1）合同因有效期限届满而终止；</w:t>
      </w:r>
    </w:p>
    <w:p>
      <w:pPr>
        <w:pStyle w:val="null3"/>
        <w:jc w:val="left"/>
      </w:pPr>
      <w:r>
        <w:rPr/>
        <w:t>（2）乙方未按合同约定履行，构成根本性违约的，甲方有权终止合同，并追究乙方的违约责任。</w:t>
      </w:r>
    </w:p>
    <w:p>
      <w:pPr>
        <w:pStyle w:val="null3"/>
        <w:jc w:val="left"/>
      </w:pPr>
      <w:r>
        <w:rPr/>
        <w:t>16.4 涉及国家利益、社会公共利益的情形</w:t>
      </w:r>
    </w:p>
    <w:p>
      <w:pPr>
        <w:pStyle w:val="null3"/>
        <w:jc w:val="left"/>
      </w:pPr>
      <w:r>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sz w:val="28"/>
          <w:b/>
        </w:rPr>
        <w:t>17. 合同分包</w:t>
      </w:r>
    </w:p>
    <w:p>
      <w:pPr>
        <w:pStyle w:val="null3"/>
        <w:jc w:val="left"/>
      </w:pPr>
      <w:r>
        <w:rPr/>
        <w:t>17.1 乙方不得将合同转包给其他供应商。涉及合同分包的，乙方应根据采购文件和投标（响应）文件规定进行合同分包。</w:t>
      </w:r>
    </w:p>
    <w:p>
      <w:pPr>
        <w:pStyle w:val="null3"/>
        <w:jc w:val="left"/>
      </w:pPr>
      <w:r>
        <w:rPr/>
        <w:t>17.2 乙方执行政府采购政策向中小企业依法分包的，乙方应当按采购文件和投标（响应）文件签订分包意向协议，分包意向协议属于本合同组成部分。</w:t>
      </w:r>
    </w:p>
    <w:p>
      <w:pPr>
        <w:pStyle w:val="null3"/>
        <w:jc w:val="left"/>
        <w:outlineLvl w:val="2"/>
      </w:pPr>
      <w:r>
        <w:rPr>
          <w:sz w:val="28"/>
          <w:b/>
        </w:rPr>
        <w:t>18. 不可抗力</w:t>
      </w:r>
    </w:p>
    <w:p>
      <w:pPr>
        <w:pStyle w:val="null3"/>
        <w:jc w:val="left"/>
      </w:pPr>
      <w:r>
        <w:rPr/>
        <w:t>18.1 不可抗力是指合同双方不能预见、不能避免且不能克服的客观情况。</w:t>
      </w:r>
    </w:p>
    <w:p>
      <w:pPr>
        <w:pStyle w:val="null3"/>
        <w:jc w:val="left"/>
      </w:pPr>
      <w:r>
        <w:rPr/>
        <w:t>18.2 任何一方对由于不可抗力造成的部分或全部不能履行合同不承担违约责任。但迟延履行后发生不可抗力的，不能免除责任。</w:t>
      </w:r>
    </w:p>
    <w:p>
      <w:pPr>
        <w:pStyle w:val="null3"/>
        <w:jc w:val="left"/>
      </w:pPr>
      <w:r>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sz w:val="28"/>
          <w:b/>
        </w:rPr>
        <w:t>19. 解决争议的方法</w:t>
      </w:r>
    </w:p>
    <w:p>
      <w:pPr>
        <w:pStyle w:val="null3"/>
        <w:jc w:val="left"/>
      </w:pPr>
      <w:r>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t>19.2 选择仲裁的，应在</w:t>
      </w:r>
      <w:r>
        <w:rPr>
          <w:b/>
        </w:rPr>
        <w:t>【政府采购合同专用条款】</w:t>
      </w:r>
      <w:r>
        <w:rPr/>
        <w:t>中明确仲裁机构及仲裁地；通过诉讼方式解决的，可以在</w:t>
      </w:r>
      <w:r>
        <w:rPr>
          <w:b/>
        </w:rPr>
        <w:t>【政府采购合同专用条款】</w:t>
      </w:r>
      <w:r>
        <w:rPr/>
        <w:t>中进一步约定选择与争议有实际联系的地点的人民法院管辖，但管辖法院的约定不得违反级别管辖和专属管辖的规定。</w:t>
      </w:r>
    </w:p>
    <w:p>
      <w:pPr>
        <w:pStyle w:val="null3"/>
        <w:jc w:val="left"/>
      </w:pPr>
      <w:r>
        <w:rPr/>
        <w:t>19.3 如甲乙双方有争议的事项不影响合同其他部分的履行，在争议解决期间，合同其他部分应当继续履行。</w:t>
      </w:r>
    </w:p>
    <w:p>
      <w:pPr>
        <w:pStyle w:val="null3"/>
        <w:jc w:val="left"/>
        <w:outlineLvl w:val="2"/>
      </w:pPr>
      <w:r>
        <w:rPr>
          <w:sz w:val="28"/>
          <w:b/>
        </w:rPr>
        <w:t>20. 政府采购政策</w:t>
      </w:r>
    </w:p>
    <w:p>
      <w:pPr>
        <w:pStyle w:val="null3"/>
        <w:jc w:val="left"/>
      </w:pPr>
      <w:r>
        <w:rPr/>
        <w:t>20.1 本合同应当按照规定执行政府采购政策。</w:t>
      </w:r>
    </w:p>
    <w:p>
      <w:pPr>
        <w:pStyle w:val="null3"/>
        <w:jc w:val="left"/>
      </w:pPr>
      <w:r>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sz w:val="28"/>
          <w:b/>
        </w:rPr>
        <w:t>21. 法律适用</w:t>
      </w:r>
    </w:p>
    <w:p>
      <w:pPr>
        <w:pStyle w:val="null3"/>
        <w:jc w:val="left"/>
      </w:pPr>
      <w:r>
        <w:rPr/>
        <w:t>21.1 本合同的订立、生效、解释、履行及与本合同有关的争议解决，均适用法律、行政法规。</w:t>
      </w:r>
    </w:p>
    <w:p>
      <w:pPr>
        <w:pStyle w:val="null3"/>
        <w:jc w:val="left"/>
      </w:pPr>
      <w:r>
        <w:rPr/>
        <w:t>21.2 本合同条款与法律、行政法规的强制性规定不一致的，双方当事人应按照法律、行政法规的强制性规定修改本合同的相关条款。</w:t>
      </w:r>
    </w:p>
    <w:p>
      <w:pPr>
        <w:pStyle w:val="null3"/>
        <w:jc w:val="left"/>
        <w:outlineLvl w:val="2"/>
      </w:pPr>
      <w:r>
        <w:rPr>
          <w:sz w:val="28"/>
          <w:b/>
        </w:rPr>
        <w:t>22. 通知</w:t>
      </w:r>
    </w:p>
    <w:p>
      <w:pPr>
        <w:pStyle w:val="null3"/>
        <w:jc w:val="left"/>
      </w:pPr>
      <w:r>
        <w:rPr/>
        <w:t>22.1 本合同任何一方向对方发出的通知、信件、数据电文等，应当发送至本合同第一部分《政府采购合同协议书》所约定的通讯地址、联系人、联系电话或电子邮箱。</w:t>
      </w:r>
    </w:p>
    <w:p>
      <w:pPr>
        <w:pStyle w:val="null3"/>
        <w:jc w:val="left"/>
      </w:pPr>
      <w:r>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t>22.3本合同一方给另一方的通知均应采用书面形式，传真或快递送到本合同中规定的对方的地址和办理签收手续。</w:t>
      </w:r>
    </w:p>
    <w:p>
      <w:pPr>
        <w:pStyle w:val="null3"/>
        <w:jc w:val="left"/>
      </w:pPr>
      <w:r>
        <w:rPr/>
        <w:t>22.4通知以送达之日或通知书中规定的生效之日起生效，两者中以较迟之日为准。</w:t>
      </w:r>
    </w:p>
    <w:p>
      <w:pPr>
        <w:pStyle w:val="null3"/>
        <w:jc w:val="left"/>
        <w:outlineLvl w:val="2"/>
      </w:pPr>
      <w:r>
        <w:rPr>
          <w:sz w:val="28"/>
          <w:b/>
        </w:rPr>
        <w:t>23.合同未尽事项</w:t>
      </w:r>
    </w:p>
    <w:p>
      <w:pPr>
        <w:pStyle w:val="null3"/>
        <w:jc w:val="left"/>
      </w:pPr>
      <w:r>
        <w:rPr/>
        <w:t>23.1合同未尽事项见</w:t>
      </w:r>
      <w:r>
        <w:rPr>
          <w:b/>
        </w:rPr>
        <w:t>【政府采购合同专用条款】</w:t>
      </w:r>
      <w:r>
        <w:rPr/>
        <w:t>。</w:t>
      </w:r>
    </w:p>
    <w:p>
      <w:pPr>
        <w:pStyle w:val="null3"/>
        <w:jc w:val="left"/>
      </w:pPr>
      <w:r>
        <w:rPr/>
        <w:t xml:space="preserve"> 23.2 合同附件与合同正文具有同等的法律效力。</w:t>
      </w:r>
    </w:p>
    <w:p>
      <w:pPr>
        <w:pStyle w:val="null3"/>
        <w:jc w:val="center"/>
        <w:outlineLvl w:val="2"/>
      </w:pPr>
      <w:r>
        <w:rPr>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第二节 第1.2（6）项</w:t>
            </w:r>
          </w:p>
        </w:tc>
        <w:tc>
          <w:tcPr>
            <w:tcW w:type="dxa" w:w="2769"/>
          </w:tcPr>
          <w:p>
            <w:pPr>
              <w:pStyle w:val="null3"/>
              <w:jc w:val="left"/>
            </w:pPr>
            <w:r>
              <w:rPr/>
              <w:t>联合体具体要求</w:t>
            </w:r>
          </w:p>
        </w:tc>
        <w:tc>
          <w:tcPr>
            <w:tcW w:type="dxa" w:w="2769"/>
          </w:tcPr>
          <w:p>
            <w:pPr>
              <w:pStyle w:val="null3"/>
              <w:jc w:val="left"/>
            </w:pPr>
          </w:p>
        </w:tc>
      </w:tr>
      <w:tr>
        <w:tc>
          <w:tcPr>
            <w:tcW w:type="dxa" w:w="2769"/>
          </w:tcPr>
          <w:p>
            <w:pPr>
              <w:pStyle w:val="null3"/>
              <w:jc w:val="left"/>
            </w:pPr>
            <w:r>
              <w:rPr/>
              <w:t>第二节 第1.2（7）项</w:t>
            </w:r>
          </w:p>
        </w:tc>
        <w:tc>
          <w:tcPr>
            <w:tcW w:type="dxa" w:w="2769"/>
          </w:tcPr>
          <w:p>
            <w:pPr>
              <w:pStyle w:val="null3"/>
              <w:jc w:val="left"/>
            </w:pPr>
            <w:r>
              <w:rPr/>
              <w:t>其他术语解释</w:t>
            </w:r>
          </w:p>
        </w:tc>
        <w:tc>
          <w:tcPr>
            <w:tcW w:type="dxa" w:w="2769"/>
          </w:tcPr>
          <w:p>
            <w:pPr>
              <w:pStyle w:val="null3"/>
              <w:jc w:val="left"/>
            </w:pPr>
          </w:p>
        </w:tc>
      </w:tr>
      <w:tr>
        <w:tc>
          <w:tcPr>
            <w:tcW w:type="dxa" w:w="2769"/>
          </w:tcPr>
          <w:p>
            <w:pPr>
              <w:pStyle w:val="null3"/>
              <w:jc w:val="left"/>
            </w:pPr>
            <w:r>
              <w:rPr/>
              <w:t>第二节 第4.4款</w:t>
            </w:r>
          </w:p>
        </w:tc>
        <w:tc>
          <w:tcPr>
            <w:tcW w:type="dxa" w:w="2769"/>
          </w:tcPr>
          <w:p>
            <w:pPr>
              <w:pStyle w:val="null3"/>
              <w:jc w:val="left"/>
            </w:pPr>
            <w:r>
              <w:rPr/>
              <w:t>履约验收中甲方提出异议或作出说明的期限</w:t>
            </w:r>
          </w:p>
        </w:tc>
        <w:tc>
          <w:tcPr>
            <w:tcW w:type="dxa" w:w="2769"/>
          </w:tcPr>
          <w:p>
            <w:pPr>
              <w:pStyle w:val="null3"/>
              <w:jc w:val="left"/>
            </w:pPr>
          </w:p>
        </w:tc>
      </w:tr>
      <w:tr>
        <w:tc>
          <w:tcPr>
            <w:tcW w:type="dxa" w:w="2769"/>
          </w:tcPr>
          <w:p>
            <w:pPr>
              <w:pStyle w:val="null3"/>
              <w:jc w:val="left"/>
            </w:pPr>
            <w:r>
              <w:rPr/>
              <w:t>第二节 第4.6款</w:t>
            </w:r>
          </w:p>
        </w:tc>
        <w:tc>
          <w:tcPr>
            <w:tcW w:type="dxa" w:w="2769"/>
          </w:tcPr>
          <w:p>
            <w:pPr>
              <w:pStyle w:val="null3"/>
              <w:jc w:val="left"/>
            </w:pPr>
            <w:r>
              <w:rPr/>
              <w:t>约定甲方承担的其他义务和责任</w:t>
            </w:r>
          </w:p>
        </w:tc>
        <w:tc>
          <w:tcPr>
            <w:tcW w:type="dxa" w:w="2769"/>
          </w:tcPr>
          <w:p>
            <w:pPr>
              <w:pStyle w:val="null3"/>
              <w:jc w:val="left"/>
            </w:pPr>
          </w:p>
        </w:tc>
      </w:tr>
      <w:tr>
        <w:tc>
          <w:tcPr>
            <w:tcW w:type="dxa" w:w="2769"/>
          </w:tcPr>
          <w:p>
            <w:pPr>
              <w:pStyle w:val="null3"/>
              <w:jc w:val="left"/>
            </w:pPr>
            <w:r>
              <w:rPr/>
              <w:t>第二节 第5.4款</w:t>
            </w:r>
          </w:p>
        </w:tc>
        <w:tc>
          <w:tcPr>
            <w:tcW w:type="dxa" w:w="2769"/>
          </w:tcPr>
          <w:p>
            <w:pPr>
              <w:pStyle w:val="null3"/>
              <w:jc w:val="left"/>
            </w:pPr>
            <w:r>
              <w:rPr/>
              <w:t>约定乙方承担的其他义务和责任</w:t>
            </w:r>
          </w:p>
        </w:tc>
        <w:tc>
          <w:tcPr>
            <w:tcW w:type="dxa" w:w="2769"/>
          </w:tcPr>
          <w:p>
            <w:pPr>
              <w:pStyle w:val="null3"/>
              <w:jc w:val="left"/>
            </w:pPr>
          </w:p>
        </w:tc>
      </w:tr>
      <w:tr>
        <w:tc>
          <w:tcPr>
            <w:tcW w:type="dxa" w:w="2769"/>
          </w:tcPr>
          <w:p>
            <w:pPr>
              <w:pStyle w:val="null3"/>
              <w:jc w:val="left"/>
            </w:pPr>
            <w:r>
              <w:rPr/>
              <w:t>第二节 第6.1款</w:t>
            </w:r>
          </w:p>
        </w:tc>
        <w:tc>
          <w:tcPr>
            <w:tcW w:type="dxa" w:w="2769"/>
          </w:tcPr>
          <w:p>
            <w:pPr>
              <w:pStyle w:val="null3"/>
              <w:jc w:val="left"/>
            </w:pPr>
            <w:r>
              <w:rPr/>
              <w:t>履行合同义务的顺序</w:t>
            </w:r>
          </w:p>
        </w:tc>
        <w:tc>
          <w:tcPr>
            <w:tcW w:type="dxa" w:w="2769"/>
          </w:tcPr>
          <w:p>
            <w:pPr>
              <w:pStyle w:val="null3"/>
              <w:jc w:val="left"/>
            </w:pPr>
          </w:p>
        </w:tc>
      </w:tr>
      <w:tr>
        <w:tc>
          <w:tcPr>
            <w:tcW w:type="dxa" w:w="2769"/>
            <w:vMerge w:val="restart"/>
          </w:tcPr>
          <w:p>
            <w:pPr>
              <w:pStyle w:val="null3"/>
              <w:jc w:val="left"/>
            </w:pPr>
            <w:r>
              <w:rPr/>
              <w:t>第二节 第7.1款</w:t>
            </w:r>
          </w:p>
        </w:tc>
        <w:tc>
          <w:tcPr>
            <w:tcW w:type="dxa" w:w="2769"/>
          </w:tcPr>
          <w:p>
            <w:pPr>
              <w:pStyle w:val="null3"/>
              <w:jc w:val="left"/>
            </w:pPr>
            <w:r>
              <w:rPr/>
              <w:t>包装特殊要求</w:t>
            </w:r>
          </w:p>
        </w:tc>
        <w:tc>
          <w:tcPr>
            <w:tcW w:type="dxa" w:w="2769"/>
          </w:tcPr>
          <w:p>
            <w:pPr>
              <w:pStyle w:val="null3"/>
              <w:jc w:val="left"/>
            </w:pPr>
          </w:p>
        </w:tc>
      </w:tr>
      <w:tr>
        <w:tc>
          <w:tcPr>
            <w:tcW w:type="dxa" w:w="2769"/>
            <w:vMerge/>
          </w:tcPr>
          <w:p/>
        </w:tc>
        <w:tc>
          <w:tcPr>
            <w:tcW w:type="dxa" w:w="2769"/>
          </w:tcPr>
          <w:p>
            <w:pPr>
              <w:pStyle w:val="null3"/>
              <w:jc w:val="left"/>
            </w:pPr>
            <w:r>
              <w:rPr/>
              <w:t>指定现场</w:t>
            </w:r>
          </w:p>
        </w:tc>
        <w:tc>
          <w:tcPr>
            <w:tcW w:type="dxa" w:w="2769"/>
          </w:tcPr>
          <w:p>
            <w:pPr>
              <w:pStyle w:val="null3"/>
              <w:jc w:val="left"/>
            </w:pPr>
          </w:p>
        </w:tc>
      </w:tr>
      <w:tr>
        <w:tc>
          <w:tcPr>
            <w:tcW w:type="dxa" w:w="2769"/>
          </w:tcPr>
          <w:p>
            <w:pPr>
              <w:pStyle w:val="null3"/>
              <w:jc w:val="left"/>
            </w:pPr>
            <w:r>
              <w:rPr/>
              <w:t>第二节 第7.2款</w:t>
            </w:r>
          </w:p>
        </w:tc>
        <w:tc>
          <w:tcPr>
            <w:tcW w:type="dxa" w:w="2769"/>
          </w:tcPr>
          <w:p>
            <w:pPr>
              <w:pStyle w:val="null3"/>
              <w:jc w:val="left"/>
            </w:pPr>
            <w:r>
              <w:rPr/>
              <w:t>运输特殊要求</w:t>
            </w:r>
          </w:p>
        </w:tc>
        <w:tc>
          <w:tcPr>
            <w:tcW w:type="dxa" w:w="2769"/>
          </w:tcPr>
          <w:p>
            <w:pPr>
              <w:pStyle w:val="null3"/>
              <w:jc w:val="left"/>
            </w:pPr>
          </w:p>
        </w:tc>
      </w:tr>
      <w:tr>
        <w:tc>
          <w:tcPr>
            <w:tcW w:type="dxa" w:w="2769"/>
          </w:tcPr>
          <w:p>
            <w:pPr>
              <w:pStyle w:val="null3"/>
              <w:jc w:val="left"/>
            </w:pPr>
            <w:r>
              <w:rPr/>
              <w:t>第二节 第7.3款</w:t>
            </w:r>
          </w:p>
        </w:tc>
        <w:tc>
          <w:tcPr>
            <w:tcW w:type="dxa" w:w="2769"/>
          </w:tcPr>
          <w:p>
            <w:pPr>
              <w:pStyle w:val="null3"/>
              <w:jc w:val="left"/>
            </w:pPr>
            <w:r>
              <w:rPr/>
              <w:t>保险要求</w:t>
            </w:r>
          </w:p>
        </w:tc>
        <w:tc>
          <w:tcPr>
            <w:tcW w:type="dxa" w:w="2769"/>
          </w:tcPr>
          <w:p>
            <w:pPr>
              <w:pStyle w:val="null3"/>
              <w:jc w:val="left"/>
            </w:pPr>
          </w:p>
        </w:tc>
      </w:tr>
      <w:tr>
        <w:tc>
          <w:tcPr>
            <w:tcW w:type="dxa" w:w="2769"/>
          </w:tcPr>
          <w:p>
            <w:pPr>
              <w:pStyle w:val="null3"/>
              <w:jc w:val="left"/>
            </w:pPr>
            <w:r>
              <w:rPr/>
              <w:t>第二节 第8.2（1）项</w:t>
            </w:r>
          </w:p>
        </w:tc>
        <w:tc>
          <w:tcPr>
            <w:tcW w:type="dxa" w:w="2769"/>
          </w:tcPr>
          <w:p>
            <w:pPr>
              <w:pStyle w:val="null3"/>
              <w:jc w:val="left"/>
            </w:pPr>
            <w:r>
              <w:rPr/>
              <w:t>质量保证期</w:t>
            </w:r>
          </w:p>
        </w:tc>
        <w:tc>
          <w:tcPr>
            <w:tcW w:type="dxa" w:w="2769"/>
          </w:tcPr>
          <w:p/>
        </w:tc>
      </w:tr>
      <w:tr>
        <w:tc>
          <w:tcPr>
            <w:tcW w:type="dxa" w:w="2769"/>
          </w:tcPr>
          <w:p>
            <w:pPr>
              <w:pStyle w:val="null3"/>
              <w:jc w:val="left"/>
            </w:pPr>
            <w:r>
              <w:rPr/>
              <w:t>第二节 第8.2（3）项</w:t>
            </w:r>
          </w:p>
        </w:tc>
        <w:tc>
          <w:tcPr>
            <w:tcW w:type="dxa" w:w="2769"/>
          </w:tcPr>
          <w:p>
            <w:pPr>
              <w:pStyle w:val="null3"/>
              <w:jc w:val="left"/>
            </w:pPr>
            <w:r>
              <w:rPr/>
              <w:t>货物质量缺陷响应时间</w:t>
            </w:r>
          </w:p>
        </w:tc>
        <w:tc>
          <w:tcPr>
            <w:tcW w:type="dxa" w:w="2769"/>
          </w:tcPr>
          <w:p/>
        </w:tc>
      </w:tr>
      <w:tr>
        <w:tc>
          <w:tcPr>
            <w:tcW w:type="dxa" w:w="2769"/>
          </w:tcPr>
          <w:p>
            <w:pPr>
              <w:pStyle w:val="null3"/>
              <w:jc w:val="left"/>
            </w:pPr>
            <w:r>
              <w:rPr/>
              <w:t>第二节 第11.1款</w:t>
            </w:r>
          </w:p>
        </w:tc>
        <w:tc>
          <w:tcPr>
            <w:tcW w:type="dxa" w:w="2769"/>
          </w:tcPr>
          <w:p>
            <w:pPr>
              <w:pStyle w:val="null3"/>
              <w:jc w:val="left"/>
            </w:pPr>
            <w:r>
              <w:rPr/>
              <w:t>其他应当保密的信息</w:t>
            </w:r>
          </w:p>
        </w:tc>
        <w:tc>
          <w:tcPr>
            <w:tcW w:type="dxa" w:w="2769"/>
          </w:tcPr>
          <w:p/>
        </w:tc>
      </w:tr>
      <w:tr>
        <w:tc>
          <w:tcPr>
            <w:tcW w:type="dxa" w:w="2769"/>
          </w:tcPr>
          <w:p>
            <w:pPr>
              <w:pStyle w:val="null3"/>
              <w:jc w:val="left"/>
            </w:pPr>
            <w:r>
              <w:rPr/>
              <w:t>第二节 第12.2款</w:t>
            </w:r>
          </w:p>
        </w:tc>
        <w:tc>
          <w:tcPr>
            <w:tcW w:type="dxa" w:w="2769"/>
          </w:tcPr>
          <w:p>
            <w:pPr>
              <w:pStyle w:val="null3"/>
              <w:jc w:val="left"/>
            </w:pPr>
            <w:r>
              <w:rPr/>
              <w:t>合同价款支付时间</w:t>
            </w:r>
          </w:p>
        </w:tc>
        <w:tc>
          <w:tcPr>
            <w:tcW w:type="dxa" w:w="2769"/>
          </w:tcPr>
          <w:p/>
        </w:tc>
      </w:tr>
      <w:tr>
        <w:tc>
          <w:tcPr>
            <w:tcW w:type="dxa" w:w="2769"/>
          </w:tcPr>
          <w:p>
            <w:pPr>
              <w:pStyle w:val="null3"/>
              <w:jc w:val="left"/>
            </w:pPr>
            <w:r>
              <w:rPr/>
              <w:t>第二节 第13.2款</w:t>
            </w:r>
          </w:p>
        </w:tc>
        <w:tc>
          <w:tcPr>
            <w:tcW w:type="dxa" w:w="2769"/>
          </w:tcPr>
          <w:p>
            <w:pPr>
              <w:pStyle w:val="null3"/>
              <w:jc w:val="left"/>
            </w:pPr>
            <w:r>
              <w:rPr/>
              <w:t>履约保证金不予退还的情形</w:t>
            </w:r>
          </w:p>
        </w:tc>
        <w:tc>
          <w:tcPr>
            <w:tcW w:type="dxa" w:w="2769"/>
          </w:tcPr>
          <w:p/>
        </w:tc>
      </w:tr>
      <w:tr>
        <w:tc>
          <w:tcPr>
            <w:tcW w:type="dxa" w:w="2769"/>
          </w:tcPr>
          <w:p>
            <w:pPr>
              <w:pStyle w:val="null3"/>
              <w:jc w:val="left"/>
            </w:pPr>
            <w:r>
              <w:rPr/>
              <w:t>第二节 第13.3款</w:t>
            </w:r>
          </w:p>
        </w:tc>
        <w:tc>
          <w:tcPr>
            <w:tcW w:type="dxa" w:w="2769"/>
          </w:tcPr>
          <w:p>
            <w:pPr>
              <w:pStyle w:val="null3"/>
              <w:jc w:val="left"/>
            </w:pPr>
            <w:r>
              <w:rPr/>
              <w:t>履约保证金退还时间及逾期退还的违约金</w:t>
            </w:r>
          </w:p>
        </w:tc>
        <w:tc>
          <w:tcPr>
            <w:tcW w:type="dxa" w:w="2769"/>
          </w:tcPr>
          <w:p/>
        </w:tc>
      </w:tr>
      <w:tr>
        <w:tc>
          <w:tcPr>
            <w:tcW w:type="dxa" w:w="2769"/>
          </w:tcPr>
          <w:p>
            <w:pPr>
              <w:pStyle w:val="null3"/>
              <w:jc w:val="left"/>
            </w:pPr>
            <w:r>
              <w:rPr/>
              <w:t>第二节 第14.1（3）项</w:t>
            </w:r>
          </w:p>
        </w:tc>
        <w:tc>
          <w:tcPr>
            <w:tcW w:type="dxa" w:w="2769"/>
          </w:tcPr>
          <w:p>
            <w:pPr>
              <w:pStyle w:val="null3"/>
              <w:jc w:val="left"/>
            </w:pPr>
            <w:r>
              <w:rPr/>
              <w:t>运行监督、维修期限</w:t>
            </w:r>
          </w:p>
        </w:tc>
        <w:tc>
          <w:tcPr>
            <w:tcW w:type="dxa" w:w="2769"/>
          </w:tcPr>
          <w:p/>
        </w:tc>
      </w:tr>
      <w:tr>
        <w:tc>
          <w:tcPr>
            <w:tcW w:type="dxa" w:w="2769"/>
          </w:tcPr>
          <w:p>
            <w:pPr>
              <w:pStyle w:val="null3"/>
              <w:jc w:val="left"/>
            </w:pPr>
            <w:r>
              <w:rPr/>
              <w:t>第二节 第14.1（5）项</w:t>
            </w:r>
          </w:p>
        </w:tc>
        <w:tc>
          <w:tcPr>
            <w:tcW w:type="dxa" w:w="2769"/>
          </w:tcPr>
          <w:p>
            <w:pPr>
              <w:pStyle w:val="null3"/>
              <w:jc w:val="left"/>
            </w:pPr>
            <w:r>
              <w:rPr/>
              <w:t>货物回收的约定</w:t>
            </w:r>
          </w:p>
        </w:tc>
        <w:tc>
          <w:tcPr>
            <w:tcW w:type="dxa" w:w="2769"/>
          </w:tcPr>
          <w:p/>
        </w:tc>
      </w:tr>
      <w:tr>
        <w:tc>
          <w:tcPr>
            <w:tcW w:type="dxa" w:w="2769"/>
          </w:tcPr>
          <w:p>
            <w:pPr>
              <w:pStyle w:val="null3"/>
              <w:jc w:val="left"/>
            </w:pPr>
            <w:r>
              <w:rPr/>
              <w:t>第二节 第14.1（6）项</w:t>
            </w:r>
          </w:p>
        </w:tc>
        <w:tc>
          <w:tcPr>
            <w:tcW w:type="dxa" w:w="2769"/>
          </w:tcPr>
          <w:p>
            <w:pPr>
              <w:pStyle w:val="null3"/>
              <w:jc w:val="left"/>
            </w:pPr>
            <w:r>
              <w:rPr/>
              <w:t>乙方提供的其他服务</w:t>
            </w:r>
          </w:p>
        </w:tc>
        <w:tc>
          <w:tcPr>
            <w:tcW w:type="dxa" w:w="2769"/>
          </w:tcPr>
          <w:p/>
        </w:tc>
      </w:tr>
      <w:tr>
        <w:tc>
          <w:tcPr>
            <w:tcW w:type="dxa" w:w="2769"/>
          </w:tcPr>
          <w:p>
            <w:pPr>
              <w:pStyle w:val="null3"/>
              <w:jc w:val="left"/>
            </w:pPr>
            <w:r>
              <w:rPr/>
              <w:t>第二节 第15.1款</w:t>
            </w:r>
          </w:p>
        </w:tc>
        <w:tc>
          <w:tcPr>
            <w:tcW w:type="dxa" w:w="2769"/>
          </w:tcPr>
          <w:p>
            <w:pPr>
              <w:pStyle w:val="null3"/>
              <w:jc w:val="left"/>
            </w:pPr>
            <w:r>
              <w:rPr/>
              <w:t>修理、重作、更换相关具体规定</w:t>
            </w:r>
          </w:p>
        </w:tc>
        <w:tc>
          <w:tcPr>
            <w:tcW w:type="dxa" w:w="2769"/>
          </w:tcPr>
          <w:p/>
        </w:tc>
      </w:tr>
      <w:tr>
        <w:tc>
          <w:tcPr>
            <w:tcW w:type="dxa" w:w="2769"/>
          </w:tcPr>
          <w:p>
            <w:pPr>
              <w:pStyle w:val="null3"/>
              <w:jc w:val="left"/>
            </w:pPr>
            <w:r>
              <w:rPr/>
              <w:t>第二节 第15.2（2）项</w:t>
            </w:r>
          </w:p>
        </w:tc>
        <w:tc>
          <w:tcPr>
            <w:tcW w:type="dxa" w:w="2769"/>
          </w:tcPr>
          <w:p>
            <w:pPr>
              <w:pStyle w:val="null3"/>
              <w:jc w:val="left"/>
            </w:pPr>
            <w:r>
              <w:rPr/>
              <w:t>迟延交货赔偿费</w:t>
            </w:r>
          </w:p>
        </w:tc>
        <w:tc>
          <w:tcPr>
            <w:tcW w:type="dxa" w:w="2769"/>
          </w:tcPr>
          <w:p/>
        </w:tc>
      </w:tr>
      <w:tr>
        <w:tc>
          <w:tcPr>
            <w:tcW w:type="dxa" w:w="2769"/>
          </w:tcPr>
          <w:p>
            <w:pPr>
              <w:pStyle w:val="null3"/>
              <w:jc w:val="left"/>
            </w:pPr>
            <w:r>
              <w:rPr/>
              <w:t>第二节 第15.3款</w:t>
            </w:r>
          </w:p>
        </w:tc>
        <w:tc>
          <w:tcPr>
            <w:tcW w:type="dxa" w:w="2769"/>
          </w:tcPr>
          <w:p>
            <w:pPr>
              <w:pStyle w:val="null3"/>
              <w:jc w:val="left"/>
            </w:pPr>
            <w:r>
              <w:rPr/>
              <w:t>逾期付款利息</w:t>
            </w:r>
          </w:p>
        </w:tc>
        <w:tc>
          <w:tcPr>
            <w:tcW w:type="dxa" w:w="2769"/>
          </w:tcPr>
          <w:p/>
        </w:tc>
      </w:tr>
      <w:tr>
        <w:tc>
          <w:tcPr>
            <w:tcW w:type="dxa" w:w="2769"/>
          </w:tcPr>
          <w:p>
            <w:pPr>
              <w:pStyle w:val="null3"/>
              <w:jc w:val="left"/>
            </w:pPr>
            <w:r>
              <w:rPr/>
              <w:t>第二节 第15.4款</w:t>
            </w:r>
          </w:p>
        </w:tc>
        <w:tc>
          <w:tcPr>
            <w:tcW w:type="dxa" w:w="2769"/>
          </w:tcPr>
          <w:p>
            <w:pPr>
              <w:pStyle w:val="null3"/>
              <w:jc w:val="left"/>
            </w:pPr>
            <w:r>
              <w:rPr/>
              <w:t>其他违约责任</w:t>
            </w:r>
          </w:p>
        </w:tc>
        <w:tc>
          <w:tcPr>
            <w:tcW w:type="dxa" w:w="2769"/>
          </w:tcPr>
          <w:p/>
        </w:tc>
      </w:tr>
      <w:tr>
        <w:tc>
          <w:tcPr>
            <w:tcW w:type="dxa" w:w="2769"/>
          </w:tcPr>
          <w:p>
            <w:pPr>
              <w:pStyle w:val="null3"/>
              <w:jc w:val="left"/>
            </w:pPr>
            <w:r>
              <w:rPr/>
              <w:t>第二节 第19.2款</w:t>
            </w:r>
          </w:p>
        </w:tc>
        <w:tc>
          <w:tcPr>
            <w:tcW w:type="dxa" w:w="2769"/>
          </w:tcPr>
          <w:p>
            <w:pPr>
              <w:pStyle w:val="null3"/>
              <w:jc w:val="left"/>
            </w:pPr>
            <w:r>
              <w:rPr/>
              <w:t>解决争议的方法</w:t>
            </w:r>
          </w:p>
        </w:tc>
        <w:tc>
          <w:tcPr>
            <w:tcW w:type="dxa" w:w="2769"/>
          </w:tcPr>
          <w:p>
            <w:pPr>
              <w:pStyle w:val="null3"/>
              <w:jc w:val="left"/>
            </w:pPr>
            <w:r>
              <w:rPr/>
              <w:t xml:space="preserve"> 因本合同及合同有关事项发生的争议，按下列第</w:t>
            </w:r>
            <w:r>
              <w:rPr/>
              <w:t>____</w:t>
            </w:r>
            <w:r>
              <w:rPr/>
              <w:t xml:space="preserve"> 种方式解决：</w:t>
            </w:r>
          </w:p>
          <w:p>
            <w:pPr>
              <w:pStyle w:val="null3"/>
              <w:jc w:val="left"/>
            </w:pPr>
            <w:r>
              <w:rPr/>
              <w:t xml:space="preserve"> （1）向 </w:t>
            </w:r>
            <w:r>
              <w:rPr/>
              <w:t>__________________</w:t>
            </w:r>
            <w:r>
              <w:rPr/>
              <w:t xml:space="preserve">仲裁委员会申请仲裁，仲裁地点为 </w:t>
            </w:r>
            <w:r>
              <w:rPr/>
              <w:t>____________</w:t>
            </w:r>
            <w:r>
              <w:rPr/>
              <w:t xml:space="preserve"> ；</w:t>
            </w:r>
          </w:p>
          <w:p>
            <w:pPr>
              <w:pStyle w:val="null3"/>
              <w:jc w:val="left"/>
            </w:pPr>
            <w:r>
              <w:rPr/>
              <w:t xml:space="preserve"> （2）向</w:t>
            </w:r>
            <w:r>
              <w:rPr/>
              <w:t>__________________</w:t>
            </w:r>
            <w:r>
              <w:rPr/>
              <w:t>人民法院起诉。</w:t>
            </w:r>
          </w:p>
        </w:tc>
      </w:tr>
      <w:tr>
        <w:tc>
          <w:tcPr>
            <w:tcW w:type="dxa" w:w="2769"/>
          </w:tcPr>
          <w:p>
            <w:pPr>
              <w:pStyle w:val="null3"/>
              <w:jc w:val="left"/>
            </w:pPr>
            <w:r>
              <w:rPr/>
              <w:t>第二节 第23.1款</w:t>
            </w:r>
          </w:p>
        </w:tc>
        <w:tc>
          <w:tcPr>
            <w:tcW w:type="dxa" w:w="2769"/>
          </w:tcPr>
          <w:p>
            <w:pPr>
              <w:pStyle w:val="null3"/>
              <w:jc w:val="left"/>
            </w:pPr>
            <w:r>
              <w:rPr/>
              <w:t>其他专用条款</w:t>
            </w:r>
          </w:p>
        </w:tc>
        <w:tc>
          <w:tcPr>
            <w:tcW w:type="dxa" w:w="2769"/>
          </w:tcPr>
          <w:p/>
        </w:tc>
      </w:tr>
    </w:tbl>
    <w:p>
      <w:pPr>
        <w:pStyle w:val="null3"/>
        <w:jc w:val="left"/>
      </w:pPr>
      <w:r>
        <w:rPr/>
        <w:t xml:space="preserve"> </w:t>
        <w:br/>
        <w:br w:type="page"/>
      </w:r>
    </w:p>
    <w:p>
      <w:pPr>
        <w:pStyle w:val="null3"/>
        <w:jc w:val="center"/>
        <w:outlineLvl w:val="1"/>
      </w:pPr>
      <w:r>
        <w:rPr>
          <w:sz w:val="36"/>
          <w:b/>
        </w:rPr>
        <w:t>第七章 电子投标文件格式</w:t>
      </w:r>
    </w:p>
    <w:p>
      <w:pPr>
        <w:pStyle w:val="null3"/>
        <w:jc w:val="center"/>
        <w:outlineLvl w:val="2"/>
      </w:pPr>
      <w:r>
        <w:rPr>
          <w:sz w:val="28"/>
          <w:b/>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sz w:val="28"/>
          <w:b/>
        </w:rPr>
        <w:t>封面格式(资格及资信证明部分)</w:t>
      </w:r>
    </w:p>
    <w:p>
      <w:pPr>
        <w:pStyle w:val="null3"/>
        <w:jc w:val="center"/>
        <w:outlineLvl w:val="0"/>
      </w:pPr>
      <w:r>
        <w:rPr>
          <w:sz w:val="48"/>
          <w:b/>
        </w:rPr>
        <w:t>福建省政府采购投标文件</w:t>
      </w:r>
    </w:p>
    <w:p>
      <w:pPr>
        <w:pStyle w:val="null3"/>
        <w:jc w:val="center"/>
        <w:outlineLvl w:val="0"/>
      </w:pPr>
      <w:r>
        <w:rPr>
          <w:sz w:val="48"/>
          <w:b/>
        </w:rPr>
        <w:t>（资格及资信证明部分）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sz w:val="28"/>
          <w:b/>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①开标（报价）一览表</w:t>
      </w:r>
    </w:p>
    <w:p>
      <w:pPr>
        <w:pStyle w:val="null3"/>
        <w:ind w:firstLine="480"/>
        <w:jc w:val="left"/>
      </w:pPr>
      <w:r>
        <w:rPr/>
        <w:t>②投标（响应）报价明细表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1.1所投采购包的投标报价详见“开标（报价）一览表”及“投标（响应）报价明细表”。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通信地址：</w:t>
      </w:r>
    </w:p>
    <w:p>
      <w:pPr>
        <w:pStyle w:val="null3"/>
        <w:ind w:firstLine="480"/>
        <w:jc w:val="left"/>
      </w:pPr>
      <w:r>
        <w:rPr/>
        <w:t>邮编：</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sz w:val="28"/>
          <w:b/>
        </w:rPr>
        <w:t>二、投标人的资格及资信证明文件</w:t>
      </w:r>
    </w:p>
    <w:p>
      <w:pPr>
        <w:pStyle w:val="null3"/>
        <w:jc w:val="center"/>
        <w:outlineLvl w:val="3"/>
      </w:pPr>
      <w:r>
        <w:rPr>
          <w:sz w:val="24"/>
          <w:b/>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jc w:val="left"/>
      </w:pPr>
      <w:r>
        <w:rPr/>
        <w:t xml:space="preserve"> </w:t>
        <w:br/>
        <w:br w:type="page"/>
      </w:r>
    </w:p>
    <w:p>
      <w:pPr>
        <w:pStyle w:val="null3"/>
        <w:jc w:val="center"/>
        <w:outlineLvl w:val="3"/>
      </w:pPr>
      <w:r>
        <w:rPr>
          <w:sz w:val="24"/>
          <w:b/>
        </w:rPr>
        <w:t>二-2营业执照等证明文件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二-3财务状况报告（财务报告、或资信证明）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二-4依法缴纳税收证明材料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二-5依法缴纳社会保障资金证明材料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二-6具备履行合同所必需设备和专业技术能力的声明函（若有）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二-7参加采购活动前三年内在经营活动中没有重大违法记录书面声明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二-8信用记录查询提示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sz w:val="24"/>
          <w:b/>
        </w:rPr>
        <w:t>二-9中小企业声明函</w:t>
      </w:r>
    </w:p>
    <w:p>
      <w:pPr>
        <w:pStyle w:val="null3"/>
        <w:jc w:val="center"/>
        <w:outlineLvl w:val="3"/>
      </w:pPr>
      <w:r>
        <w:rPr>
          <w:sz w:val="24"/>
          <w:b/>
        </w:rPr>
        <w:t>（以资格条件落实中小企业扶持政策时适用，若有）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万元¹</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残疾人福利性单位声明函</w:t>
      </w:r>
    </w:p>
    <w:p>
      <w:pPr>
        <w:pStyle w:val="null3"/>
        <w:jc w:val="center"/>
        <w:outlineLvl w:val="3"/>
      </w:pPr>
      <w:r>
        <w:rPr>
          <w:sz w:val="24"/>
          <w:b/>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二-10联合体协议（若有）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二-11分包意向协议（若有）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sz w:val="24"/>
          <w:b/>
        </w:rPr>
        <w:t>二-12其他资格证明文件（若有）</w:t>
      </w:r>
    </w:p>
    <w:p>
      <w:pPr>
        <w:pStyle w:val="null3"/>
        <w:jc w:val="center"/>
        <w:outlineLvl w:val="3"/>
      </w:pPr>
      <w:r>
        <w:rPr>
          <w:sz w:val="24"/>
          <w:b/>
        </w:rPr>
        <w:t>二-12-①具备履行合同所必需设备和专业技术能力专项证明材料（若有）</w:t>
      </w:r>
    </w:p>
    <w:p>
      <w:pPr>
        <w:pStyle w:val="null3"/>
        <w:ind w:firstLine="480"/>
        <w:jc w:val="left"/>
      </w:pPr>
      <w:r>
        <w:rPr/>
        <w:t>致：</w:t>
      </w:r>
      <w:r>
        <w:rPr>
          <w:u w:val="single"/>
        </w:rPr>
        <w:t>（采购人或采购代理机构）</w:t>
      </w:r>
    </w:p>
    <w:p>
      <w:pPr>
        <w:pStyle w:val="null3"/>
        <w:ind w:firstLine="480"/>
        <w:jc w:val="left"/>
      </w:pPr>
      <w:r>
        <w:rPr/>
        <w:t>现附上我方具备履行合同所必需的设备和专业技术能力的专项证明材料复印件（具体附后），上述证明材料真实有效，否则我方负全部责任。</w:t>
      </w:r>
    </w:p>
    <w:p>
      <w:pPr>
        <w:pStyle w:val="null3"/>
        <w:ind w:firstLine="480"/>
        <w:jc w:val="left"/>
      </w:pPr>
      <w:r>
        <w:rPr/>
        <w:t>※注意：</w:t>
      </w:r>
    </w:p>
    <w:p>
      <w:pPr>
        <w:pStyle w:val="null3"/>
        <w:ind w:firstLine="480"/>
        <w:jc w:val="left"/>
      </w:pPr>
      <w:r>
        <w:rPr/>
        <w:t>1、招标文件要求投标人提供“具备履行合同所必需的设备和专业技术能力专项证明材料”的，投标人应按照招标文件规定在此项下提供相应证明材料复印件。</w:t>
      </w:r>
    </w:p>
    <w:p>
      <w:pPr>
        <w:pStyle w:val="null3"/>
        <w:ind w:firstLine="480"/>
        <w:jc w:val="left"/>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二-12-②招标文件规定的其他资格证明文件（若有）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sz w:val="28"/>
          <w:b/>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sz w:val="28"/>
          <w:b/>
        </w:rPr>
        <w:t>封面格式(报价部分)</w:t>
      </w:r>
    </w:p>
    <w:p>
      <w:pPr>
        <w:pStyle w:val="null3"/>
        <w:jc w:val="center"/>
        <w:outlineLvl w:val="0"/>
      </w:pPr>
      <w:r>
        <w:rPr>
          <w:sz w:val="48"/>
          <w:b/>
        </w:rPr>
        <w:t>福建省政府采购投标文件</w:t>
      </w:r>
    </w:p>
    <w:p>
      <w:pPr>
        <w:pStyle w:val="null3"/>
        <w:jc w:val="center"/>
        <w:outlineLvl w:val="0"/>
      </w:pPr>
      <w:r>
        <w:rPr>
          <w:sz w:val="48"/>
          <w:b/>
        </w:rPr>
        <w:t>（报价部分）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一、开标（报价）一览表</w:t>
      </w:r>
    </w:p>
    <w:p>
      <w:pPr>
        <w:pStyle w:val="null3"/>
        <w:ind w:firstLine="480"/>
        <w:jc w:val="left"/>
      </w:pPr>
      <w:r>
        <w:rPr/>
        <w:t>二、投标（响应）报价明细表</w:t>
      </w:r>
    </w:p>
    <w:p>
      <w:pPr>
        <w:pStyle w:val="null3"/>
        <w:ind w:firstLine="480"/>
        <w:jc w:val="left"/>
      </w:pPr>
      <w:r>
        <w:rPr/>
        <w:t>三、招标文件规定的价格扣除证明材料（若有）</w:t>
      </w:r>
    </w:p>
    <w:p>
      <w:pPr>
        <w:pStyle w:val="null3"/>
        <w:ind w:firstLine="480"/>
        <w:jc w:val="left"/>
      </w:pPr>
      <w:r>
        <w:rPr/>
        <w:t xml:space="preserve"> </w:t>
        <w:br/>
        <w:br w:type="page"/>
      </w:r>
    </w:p>
    <w:p>
      <w:pPr>
        <w:pStyle w:val="null3"/>
        <w:jc w:val="left"/>
        <w:outlineLvl w:val="0"/>
      </w:pPr>
      <w:r>
        <w:rPr>
          <w:sz w:val="48"/>
          <w:b/>
        </w:rPr>
        <w:t>开标（报价）一览表</w:t>
      </w:r>
    </w:p>
    <w:p>
      <w:pPr>
        <w:pStyle w:val="null3"/>
        <w:jc w:val="left"/>
      </w:pPr>
      <w:r>
        <w:rPr/>
        <w:t>公司名称：</w:t>
      </w:r>
    </w:p>
    <w:p>
      <w:pPr>
        <w:pStyle w:val="null3"/>
        <w:jc w:val="left"/>
      </w:pPr>
      <w:r>
        <w:rPr/>
        <w:t>包号：</w:t>
      </w:r>
      <w:r>
        <w:rPr/>
        <w:t>1</w:t>
      </w:r>
    </w:p>
    <w:p>
      <w:pPr>
        <w:pStyle w:val="null3"/>
        <w:jc w:val="left"/>
      </w:pPr>
      <w:r>
        <w:rPr/>
        <w:t>项目编号：</w:t>
      </w:r>
      <w:r>
        <w:rPr/>
        <w:t>[350101]FZJYZX[GK]2024037</w:t>
      </w:r>
    </w:p>
    <w:p>
      <w:pPr>
        <w:pStyle w:val="null3"/>
        <w:jc w:val="left"/>
      </w:pPr>
      <w:r>
        <w:rPr/>
        <w:t>项目名称：</w:t>
      </w:r>
      <w:r>
        <w:rPr/>
        <w:t>福州市皮肤病防治院南院台式计算机、台式一体机等设备采购</w:t>
      </w:r>
    </w:p>
    <w:p>
      <w:pPr>
        <w:pStyle w:val="null3"/>
        <w:jc w:val="center"/>
      </w:pP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 xml:space="preserve"> 序号</w:t>
            </w:r>
          </w:p>
        </w:tc>
        <w:tc>
          <w:tcPr>
            <w:tcW w:type="dxa" w:w="1661"/>
          </w:tcPr>
          <w:p>
            <w:pPr>
              <w:pStyle w:val="null3"/>
              <w:jc w:val="left"/>
            </w:pPr>
            <w:r>
              <w:rPr/>
              <w:t xml:space="preserve"> 报价内容</w:t>
            </w:r>
          </w:p>
        </w:tc>
        <w:tc>
          <w:tcPr>
            <w:tcW w:type="dxa" w:w="1661"/>
          </w:tcPr>
          <w:p>
            <w:pPr>
              <w:pStyle w:val="null3"/>
              <w:jc w:val="left"/>
            </w:pPr>
            <w:r>
              <w:rPr/>
              <w:t xml:space="preserve"> 最高限价</w:t>
            </w:r>
          </w:p>
        </w:tc>
        <w:tc>
          <w:tcPr>
            <w:tcW w:type="dxa" w:w="1661"/>
          </w:tcPr>
          <w:p>
            <w:pPr>
              <w:pStyle w:val="null3"/>
              <w:jc w:val="left"/>
            </w:pPr>
            <w:r>
              <w:rPr/>
              <w:t xml:space="preserve"> 响应报价</w:t>
            </w:r>
          </w:p>
        </w:tc>
        <w:tc>
          <w:tcPr>
            <w:tcW w:type="dxa" w:w="1661"/>
          </w:tcPr>
          <w:p>
            <w:pPr>
              <w:pStyle w:val="null3"/>
              <w:jc w:val="left"/>
            </w:pPr>
            <w:r>
              <w:rPr/>
              <w:t xml:space="preserve"> 价款形式</w:t>
            </w:r>
          </w:p>
        </w:tc>
      </w:tr>
      <w:tr>
        <w:tc>
          <w:tcPr>
            <w:tcW w:type="dxa" w:w="1661"/>
          </w:tcPr>
          <w:p>
            <w:pPr>
              <w:pStyle w:val="null3"/>
              <w:jc w:val="left"/>
            </w:pPr>
            <w:r>
              <w:rPr/>
              <w:t xml:space="preserve"> 1</w:t>
            </w:r>
          </w:p>
        </w:tc>
        <w:tc>
          <w:tcPr>
            <w:tcW w:type="dxa" w:w="1661"/>
          </w:tcPr>
          <w:p>
            <w:pPr>
              <w:pStyle w:val="null3"/>
              <w:jc w:val="left"/>
            </w:pPr>
            <w:r>
              <w:rPr/>
              <w:t xml:space="preserve"> 福州市皮肤病防治院南院台式计算机、台式一体机等设备采购</w:t>
            </w:r>
          </w:p>
        </w:tc>
        <w:tc>
          <w:tcPr>
            <w:tcW w:type="dxa" w:w="1661"/>
          </w:tcPr>
          <w:p>
            <w:pPr>
              <w:pStyle w:val="null3"/>
              <w:jc w:val="left"/>
            </w:pPr>
            <w:r>
              <w:rPr/>
              <w:t xml:space="preserve"> 693400.0000 </w:t>
            </w:r>
            <w:r>
              <w:rPr/>
              <w:t xml:space="preserve"> 元</w:t>
            </w:r>
          </w:p>
        </w:tc>
        <w:tc>
          <w:tcPr>
            <w:tcW w:type="dxa" w:w="1661"/>
          </w:tcPr>
          <w:p>
            <w:pPr>
              <w:pStyle w:val="null3"/>
              <w:jc w:val="left"/>
            </w:pPr>
            <w:r>
              <w:rPr/>
              <w:t xml:space="preserve"> 「汇总引用」 </w:t>
            </w:r>
            <w:r>
              <w:rPr/>
              <w:t xml:space="preserve"> 元</w:t>
            </w:r>
          </w:p>
        </w:tc>
        <w:tc>
          <w:tcPr>
            <w:tcW w:type="dxa" w:w="1661"/>
          </w:tcPr>
          <w:p>
            <w:pPr>
              <w:pStyle w:val="null3"/>
              <w:jc w:val="left"/>
            </w:pPr>
            <w:r>
              <w:rPr/>
              <w:t xml:space="preserve"> 总价</w:t>
            </w:r>
          </w:p>
        </w:tc>
      </w:tr>
    </w:tbl>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jc w:val="left"/>
        <w:outlineLvl w:val="0"/>
      </w:pPr>
      <w:r>
        <w:rPr>
          <w:sz w:val="48"/>
          <w:b/>
        </w:rPr>
        <w:t>投标（响应）报价明细表</w:t>
      </w:r>
    </w:p>
    <w:p>
      <w:pPr>
        <w:pStyle w:val="null3"/>
        <w:jc w:val="left"/>
      </w:pPr>
      <w:r>
        <w:rPr/>
        <w:t>公司名称：</w:t>
      </w:r>
    </w:p>
    <w:p>
      <w:pPr>
        <w:pStyle w:val="null3"/>
        <w:jc w:val="left"/>
      </w:pPr>
      <w:r>
        <w:rPr/>
        <w:t>包号：</w:t>
      </w:r>
      <w:r>
        <w:rPr/>
        <w:t>1</w:t>
      </w:r>
    </w:p>
    <w:p>
      <w:pPr>
        <w:pStyle w:val="null3"/>
        <w:jc w:val="left"/>
      </w:pPr>
      <w:r>
        <w:rPr/>
        <w:t>项目编号：</w:t>
      </w:r>
      <w:r>
        <w:rPr/>
        <w:t>[350101]FZJYZX[GK]2024037</w:t>
      </w:r>
    </w:p>
    <w:p>
      <w:pPr>
        <w:pStyle w:val="null3"/>
        <w:jc w:val="left"/>
      </w:pPr>
      <w:r>
        <w:rPr/>
        <w:t>项目名称：</w:t>
      </w:r>
      <w:r>
        <w:rPr/>
        <w:t>福州市皮肤病防治院南院台式计算机、台式一体机等设备采购</w:t>
      </w:r>
    </w:p>
    <w:p>
      <w:pPr>
        <w:pStyle w:val="null3"/>
        <w:jc w:val="left"/>
      </w:pPr>
      <w:r>
        <w:rPr/>
        <w:t xml:space="preserve"> 台式计算机</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台式计算机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670000.0000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134.0000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 xml:space="preserve"> 台式一体机</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台式一体机</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15000.0000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3.0000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 xml:space="preserve"> 扫码显示屏</w:t>
      </w:r>
    </w:p>
    <w:p>
      <w:pPr>
        <w:pStyle w:val="null3"/>
        <w:jc w:val="center"/>
      </w:pP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 xml:space="preserve"> 序号</w:t>
            </w:r>
          </w:p>
        </w:tc>
        <w:tc>
          <w:tcPr>
            <w:tcW w:type="dxa" w:w="639"/>
          </w:tcPr>
          <w:p>
            <w:pPr>
              <w:pStyle w:val="null3"/>
              <w:jc w:val="left"/>
            </w:pPr>
            <w:r>
              <w:rPr/>
              <w:t xml:space="preserve"> 货物名称</w:t>
            </w:r>
          </w:p>
        </w:tc>
        <w:tc>
          <w:tcPr>
            <w:tcW w:type="dxa" w:w="639"/>
          </w:tcPr>
          <w:p>
            <w:pPr>
              <w:pStyle w:val="null3"/>
              <w:jc w:val="left"/>
            </w:pPr>
            <w:r>
              <w:rPr/>
              <w:t xml:space="preserve"> 规格型号</w:t>
            </w:r>
          </w:p>
        </w:tc>
        <w:tc>
          <w:tcPr>
            <w:tcW w:type="dxa" w:w="639"/>
          </w:tcPr>
          <w:p>
            <w:pPr>
              <w:pStyle w:val="null3"/>
              <w:jc w:val="left"/>
            </w:pPr>
            <w:r>
              <w:rPr/>
              <w:t xml:space="preserve"> 品牌</w:t>
            </w:r>
          </w:p>
        </w:tc>
        <w:tc>
          <w:tcPr>
            <w:tcW w:type="dxa" w:w="639"/>
          </w:tcPr>
          <w:p>
            <w:pPr>
              <w:pStyle w:val="null3"/>
              <w:jc w:val="left"/>
            </w:pPr>
            <w:r>
              <w:rPr/>
              <w:t xml:space="preserve"> 制造商名称</w:t>
            </w:r>
          </w:p>
        </w:tc>
        <w:tc>
          <w:tcPr>
            <w:tcW w:type="dxa" w:w="639"/>
          </w:tcPr>
          <w:p>
            <w:pPr>
              <w:pStyle w:val="null3"/>
              <w:jc w:val="left"/>
            </w:pPr>
            <w:r>
              <w:rPr/>
              <w:t xml:space="preserve"> 产地</w:t>
            </w:r>
          </w:p>
        </w:tc>
        <w:tc>
          <w:tcPr>
            <w:tcW w:type="dxa" w:w="639"/>
          </w:tcPr>
          <w:p>
            <w:pPr>
              <w:pStyle w:val="null3"/>
              <w:jc w:val="left"/>
            </w:pPr>
            <w:r>
              <w:rPr/>
              <w:t xml:space="preserve"> 最高限价</w:t>
            </w:r>
          </w:p>
        </w:tc>
        <w:tc>
          <w:tcPr>
            <w:tcW w:type="dxa" w:w="639"/>
          </w:tcPr>
          <w:p>
            <w:pPr>
              <w:pStyle w:val="null3"/>
              <w:jc w:val="left"/>
            </w:pPr>
            <w:r>
              <w:rPr/>
              <w:t xml:space="preserve"> 单价</w:t>
            </w:r>
          </w:p>
        </w:tc>
        <w:tc>
          <w:tcPr>
            <w:tcW w:type="dxa" w:w="639"/>
          </w:tcPr>
          <w:p>
            <w:pPr>
              <w:pStyle w:val="null3"/>
              <w:jc w:val="left"/>
            </w:pPr>
            <w:r>
              <w:rPr/>
              <w:t xml:space="preserve"> 数量</w:t>
            </w:r>
          </w:p>
        </w:tc>
        <w:tc>
          <w:tcPr>
            <w:tcW w:type="dxa" w:w="639"/>
          </w:tcPr>
          <w:p>
            <w:pPr>
              <w:pStyle w:val="null3"/>
              <w:jc w:val="left"/>
            </w:pPr>
            <w:r>
              <w:rPr/>
              <w:t xml:space="preserve"> 计量单位</w:t>
            </w:r>
          </w:p>
        </w:tc>
        <w:tc>
          <w:tcPr>
            <w:tcW w:type="dxa" w:w="639"/>
          </w:tcPr>
          <w:p>
            <w:pPr>
              <w:pStyle w:val="null3"/>
              <w:jc w:val="left"/>
            </w:pPr>
            <w:r>
              <w:rPr/>
              <w:t xml:space="preserve"> 总价</w:t>
            </w:r>
          </w:p>
        </w:tc>
        <w:tc>
          <w:tcPr>
            <w:tcW w:type="dxa" w:w="639"/>
          </w:tcPr>
          <w:p>
            <w:pPr>
              <w:pStyle w:val="null3"/>
              <w:jc w:val="left"/>
            </w:pPr>
            <w:r>
              <w:rPr/>
              <w:t xml:space="preserve"> 是否环境标志产品</w:t>
            </w:r>
          </w:p>
        </w:tc>
        <w:tc>
          <w:tcPr>
            <w:tcW w:type="dxa" w:w="639"/>
          </w:tcPr>
          <w:p>
            <w:pPr>
              <w:pStyle w:val="null3"/>
              <w:jc w:val="left"/>
            </w:pPr>
            <w:r>
              <w:rPr/>
              <w:t xml:space="preserve"> 是否节能产品</w:t>
            </w:r>
          </w:p>
        </w:tc>
      </w:tr>
      <w:tr>
        <w:tc>
          <w:tcPr>
            <w:tcW w:type="dxa" w:w="639"/>
          </w:tcPr>
          <w:p>
            <w:pPr>
              <w:pStyle w:val="null3"/>
              <w:jc w:val="left"/>
            </w:pPr>
            <w:r>
              <w:rPr/>
              <w:t xml:space="preserve"> 1</w:t>
            </w:r>
          </w:p>
        </w:tc>
        <w:tc>
          <w:tcPr>
            <w:tcW w:type="dxa" w:w="639"/>
          </w:tcPr>
          <w:p>
            <w:pPr>
              <w:pStyle w:val="null3"/>
              <w:jc w:val="left"/>
            </w:pPr>
            <w:r>
              <w:rPr/>
              <w:t xml:space="preserve"> 扫码显示屏</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c>
          <w:tcPr>
            <w:tcW w:type="dxa" w:w="639"/>
          </w:tcPr>
          <w:p>
            <w:pPr>
              <w:pStyle w:val="null3"/>
              <w:jc w:val="left"/>
            </w:pPr>
            <w:r>
              <w:rPr/>
              <w:t xml:space="preserve"> 8400.0000 </w:t>
            </w:r>
            <w:r>
              <w:rPr/>
              <w:t xml:space="preserve"> 元</w:t>
            </w:r>
          </w:p>
        </w:tc>
        <w:tc>
          <w:tcPr>
            <w:tcW w:type="dxa" w:w="639"/>
          </w:tcPr>
          <w:p>
            <w:pPr>
              <w:pStyle w:val="null3"/>
              <w:jc w:val="left"/>
            </w:pPr>
            <w:r>
              <w:rPr/>
              <w:t xml:space="preserve"> {=总价/数量} </w:t>
            </w:r>
            <w:r>
              <w:rPr/>
              <w:t xml:space="preserve"> 元</w:t>
            </w:r>
          </w:p>
        </w:tc>
        <w:tc>
          <w:tcPr>
            <w:tcW w:type="dxa" w:w="639"/>
          </w:tcPr>
          <w:p>
            <w:pPr>
              <w:pStyle w:val="null3"/>
              <w:jc w:val="left"/>
            </w:pPr>
            <w:r>
              <w:rPr/>
              <w:t xml:space="preserve"> 3.0000</w:t>
            </w:r>
          </w:p>
        </w:tc>
        <w:tc>
          <w:tcPr>
            <w:tcW w:type="dxa" w:w="639"/>
          </w:tcPr>
          <w:p>
            <w:pPr>
              <w:pStyle w:val="null3"/>
              <w:jc w:val="left"/>
            </w:pPr>
            <w:r>
              <w:rPr/>
              <w:t xml:space="preserve"> 台</w:t>
            </w:r>
          </w:p>
        </w:tc>
        <w:tc>
          <w:tcPr>
            <w:tcW w:type="dxa" w:w="639"/>
          </w:tcPr>
          <w:p>
            <w:pPr>
              <w:pStyle w:val="null3"/>
              <w:jc w:val="left"/>
            </w:pPr>
            <w:r>
              <w:rPr/>
              <w:t xml:space="preserve"> {供应商响应} </w:t>
            </w:r>
            <w:r>
              <w:rPr/>
              <w:t xml:space="preserve"> 元</w:t>
            </w:r>
          </w:p>
        </w:tc>
        <w:tc>
          <w:tcPr>
            <w:tcW w:type="dxa" w:w="639"/>
          </w:tcPr>
          <w:p>
            <w:pPr>
              <w:pStyle w:val="null3"/>
              <w:jc w:val="left"/>
            </w:pPr>
            <w:r>
              <w:rPr/>
              <w:t xml:space="preserve"> {供应商响应}</w:t>
            </w:r>
          </w:p>
        </w:tc>
        <w:tc>
          <w:tcPr>
            <w:tcW w:type="dxa" w:w="639"/>
          </w:tcPr>
          <w:p>
            <w:pPr>
              <w:pStyle w:val="null3"/>
              <w:jc w:val="left"/>
            </w:pPr>
            <w:r>
              <w:rPr/>
              <w:t xml:space="preserve"> {供应商响应}</w:t>
            </w:r>
          </w:p>
        </w:tc>
      </w:tr>
    </w:tbl>
    <w:p>
      <w:pPr>
        <w:pStyle w:val="null3"/>
        <w:jc w:val="left"/>
      </w:pPr>
      <w:r>
        <w:rPr/>
        <w:t>合计</w:t>
      </w:r>
      <w:r>
        <w:rPr/>
        <w:t>：</w:t>
      </w:r>
    </w:p>
    <w:p>
      <w:pPr>
        <w:pStyle w:val="null3"/>
        <w:jc w:val="left"/>
      </w:pPr>
      <w:r>
        <w:rPr/>
        <w:t>备注：无</w:t>
      </w:r>
    </w:p>
    <w:p>
      <w:pPr>
        <w:pStyle w:val="null3"/>
        <w:jc w:val="left"/>
      </w:pPr>
      <w:r>
        <w:rPr/>
        <w:t>时间：</w:t>
      </w:r>
      <w:r>
        <w:rPr/>
        <w:t xml:space="preserve">     年     月     日</w:t>
      </w:r>
    </w:p>
    <w:p>
      <w:pPr>
        <w:pStyle w:val="null3"/>
        <w:jc w:val="left"/>
      </w:pPr>
      <w:r>
        <w:rPr/>
        <w:t>签章：</w:t>
      </w:r>
      <w:r>
        <w:rPr/>
        <w:t xml:space="preserve">                     </w:t>
      </w:r>
    </w:p>
    <w:p>
      <w:pPr>
        <w:pStyle w:val="null3"/>
      </w:pPr>
      <w:r>
        <w:rPr/>
        <w:t xml:space="preserve"> </w:t>
        <w:br/>
        <w:br w:type="page"/>
      </w:r>
    </w:p>
    <w:p>
      <w:pPr>
        <w:pStyle w:val="null3"/>
        <w:jc w:val="center"/>
        <w:outlineLvl w:val="2"/>
      </w:pPr>
      <w:r>
        <w:rPr>
          <w:sz w:val="28"/>
          <w:b/>
        </w:rPr>
        <w:t>三、招标文件规定的价格扣除证明材料（若有）</w:t>
      </w:r>
    </w:p>
    <w:p>
      <w:pPr>
        <w:pStyle w:val="null3"/>
        <w:jc w:val="center"/>
        <w:outlineLvl w:val="3"/>
      </w:pPr>
      <w:r>
        <w:rPr>
          <w:sz w:val="24"/>
          <w:b/>
        </w:rPr>
        <w:t>三-1优先类节能产品、环境标志产品价格扣除证明材料（若有）</w:t>
      </w:r>
    </w:p>
    <w:p>
      <w:pPr>
        <w:pStyle w:val="null3"/>
        <w:jc w:val="center"/>
        <w:outlineLvl w:val="3"/>
      </w:pPr>
      <w:r>
        <w:rPr>
          <w:sz w:val="24"/>
          <w:b/>
        </w:rPr>
        <w:t>三-1-①优先类节能产品、环境标志产品统计表（价格扣除适用，若有）</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产品名称</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pPr>
              <w:pStyle w:val="null3"/>
              <w:jc w:val="left"/>
            </w:pPr>
            <w:r>
              <w:rPr/>
              <w:t>供应商自行填写种类，并上传证明附件以便评审查看</w:t>
            </w: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r>
      <w:tr>
        <w:tc>
          <w:tcPr>
            <w:tcW w:type="dxa" w:w="1187"/>
          </w:tcPr>
          <w:p>
            <w:pPr>
              <w:pStyle w:val="null3"/>
              <w:jc w:val="left"/>
            </w:pPr>
            <w:r>
              <w:rPr/>
              <w:t>备注</w:t>
            </w:r>
          </w:p>
        </w:tc>
        <w:tc>
          <w:tcPr>
            <w:tcW w:type="dxa" w:w="3561"/>
            <w:gridSpan w:val="3"/>
          </w:tcPr>
          <w:p>
            <w:pPr>
              <w:pStyle w:val="null3"/>
              <w:jc w:val="left"/>
            </w:pPr>
          </w:p>
        </w:tc>
      </w:tr>
    </w:tbl>
    <w:p>
      <w:pPr>
        <w:pStyle w:val="null3"/>
        <w:jc w:val="left"/>
      </w:pPr>
      <w:r>
        <w:rPr/>
        <w:t>※注意：</w:t>
      </w:r>
    </w:p>
    <w:p>
      <w:pPr>
        <w:pStyle w:val="null3"/>
        <w:ind w:firstLine="480"/>
        <w:jc w:val="left"/>
      </w:pPr>
      <w:r>
        <w:rPr/>
        <w:t>1、对节能、环境标志产品计算价格扣除时，只依据电子投标（响应）文件“投标（响应）报价明细表”以及“优先类节能产品、环境标志产品证明材料（价格扣除适用，若有）。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3.3投标人(供应商)按照采购文件要求认真统计、计算。</w:t>
      </w:r>
    </w:p>
    <w:p>
      <w:pPr>
        <w:pStyle w:val="null3"/>
        <w:ind w:firstLine="480"/>
        <w:jc w:val="left"/>
      </w:pPr>
      <w:r>
        <w:rPr/>
        <w:t>3.4若无节能、环境标志产品，不填写本表。</w:t>
      </w:r>
    </w:p>
    <w:p>
      <w:pPr>
        <w:pStyle w:val="null3"/>
        <w:ind w:firstLine="480"/>
        <w:jc w:val="left"/>
      </w:pPr>
      <w:r>
        <w:rPr/>
        <w:t>3.5强制类节能产品不享受价格扣除。</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sz w:val="24"/>
          <w:b/>
        </w:rPr>
        <w:t>三-1-②优先类节能产品、环境标志产品证明材料（价格扣除适用，若有）</w:t>
      </w:r>
    </w:p>
    <w:p>
      <w:pPr>
        <w:pStyle w:val="null3"/>
        <w:jc w:val="center"/>
        <w:outlineLvl w:val="3"/>
      </w:pPr>
      <w:r>
        <w:rPr>
          <w:sz w:val="24"/>
          <w:b/>
        </w:rPr>
        <w:t>三-2小型、微型企业产品等价格扣除证明材料（若有）</w:t>
      </w:r>
    </w:p>
    <w:p>
      <w:pPr>
        <w:pStyle w:val="null3"/>
        <w:jc w:val="center"/>
        <w:outlineLvl w:val="3"/>
      </w:pPr>
      <w:r>
        <w:rPr>
          <w:sz w:val="24"/>
          <w:b/>
        </w:rPr>
        <w:t>三-2-①中小企业声明函（价格扣除适用，若有）</w:t>
      </w:r>
    </w:p>
    <w:p>
      <w:pPr>
        <w:pStyle w:val="null3"/>
        <w:jc w:val="center"/>
        <w:outlineLvl w:val="3"/>
      </w:pPr>
      <w:r>
        <w:rPr>
          <w:sz w:val="24"/>
          <w:b/>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sz w:val="24"/>
          <w:b/>
        </w:rPr>
        <w:t>三-2-②小型、微型企业等证明材料（价格扣除适用，若有）</w:t>
      </w:r>
    </w:p>
    <w:p>
      <w:pPr>
        <w:pStyle w:val="null3"/>
        <w:ind w:firstLine="480"/>
        <w:jc w:val="center"/>
      </w:pPr>
      <w:r>
        <w:rPr/>
        <w:t>编制说明</w:t>
      </w:r>
    </w:p>
    <w:p>
      <w:pPr>
        <w:pStyle w:val="null3"/>
        <w:ind w:firstLine="480"/>
        <w:jc w:val="left"/>
      </w:pPr>
      <w:r>
        <w:rPr/>
        <w:t>1、投标人应按照招标文件要求提供相应证明材料，证明材料应与《中小企业声明函》的内容相一致，否则视为《中小企业声明函》内容不真实。</w:t>
      </w:r>
    </w:p>
    <w:p>
      <w:pPr>
        <w:pStyle w:val="null3"/>
        <w:ind w:firstLine="480"/>
        <w:jc w:val="left"/>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sz w:val="24"/>
          <w:b/>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sz w:val="24"/>
          <w:b/>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sz w:val="24"/>
          <w:b/>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sz w:val="28"/>
          <w:b/>
        </w:rPr>
        <w:t>封面格式(技术商务部分)</w:t>
      </w:r>
    </w:p>
    <w:p>
      <w:pPr>
        <w:pStyle w:val="null3"/>
        <w:jc w:val="center"/>
        <w:outlineLvl w:val="0"/>
      </w:pPr>
      <w:r>
        <w:rPr>
          <w:sz w:val="48"/>
          <w:b/>
        </w:rPr>
        <w:t>福建省政府采购投标文件</w:t>
      </w:r>
    </w:p>
    <w:p>
      <w:pPr>
        <w:pStyle w:val="null3"/>
        <w:jc w:val="center"/>
        <w:outlineLvl w:val="0"/>
      </w:pPr>
      <w:r>
        <w:rPr>
          <w:sz w:val="48"/>
          <w:b/>
        </w:rPr>
        <w:t>（技术商务部分）</w:t>
      </w:r>
      <w:r>
        <w:br/>
      </w:r>
      <w:r>
        <w:br/>
      </w:r>
      <w:r>
        <w:br/>
      </w:r>
    </w:p>
    <w:p>
      <w:pPr>
        <w:pStyle w:val="null3"/>
        <w:jc w:val="center"/>
        <w:outlineLvl w:val="1"/>
      </w:pPr>
      <w:r>
        <w:rPr>
          <w:sz w:val="36"/>
          <w:b/>
        </w:rPr>
        <w:t>（填写正本或副本）</w:t>
      </w:r>
      <w:r>
        <w:br/>
      </w:r>
      <w:r>
        <w:br/>
      </w:r>
      <w:r>
        <w:br/>
      </w:r>
      <w:r>
        <w:br/>
      </w:r>
      <w:r>
        <w:br/>
      </w:r>
    </w:p>
    <w:p>
      <w:pPr>
        <w:pStyle w:val="null3"/>
        <w:jc w:val="center"/>
        <w:outlineLvl w:val="2"/>
      </w:pPr>
      <w:r>
        <w:rPr>
          <w:sz w:val="28"/>
          <w:b/>
        </w:rPr>
        <w:t>（项目名称：（由投标人填写）</w:t>
      </w:r>
    </w:p>
    <w:p>
      <w:pPr>
        <w:pStyle w:val="null3"/>
        <w:jc w:val="center"/>
        <w:outlineLvl w:val="2"/>
      </w:pPr>
      <w:r>
        <w:rPr>
          <w:sz w:val="28"/>
          <w:b/>
        </w:rPr>
        <w:t>（备案编号：（由投标人填写）</w:t>
      </w:r>
    </w:p>
    <w:p>
      <w:pPr>
        <w:pStyle w:val="null3"/>
        <w:jc w:val="center"/>
        <w:outlineLvl w:val="2"/>
      </w:pPr>
      <w:r>
        <w:rPr>
          <w:sz w:val="28"/>
          <w:b/>
        </w:rPr>
        <w:t>（项目编号：（由投标人填写）</w:t>
      </w:r>
    </w:p>
    <w:p>
      <w:pPr>
        <w:pStyle w:val="null3"/>
        <w:jc w:val="center"/>
        <w:outlineLvl w:val="2"/>
      </w:pPr>
      <w:r>
        <w:rPr>
          <w:sz w:val="28"/>
          <w:b/>
        </w:rPr>
        <w:t>（所投采购包：（由投标人填写）</w:t>
      </w:r>
      <w:r>
        <w:br/>
      </w:r>
      <w:r>
        <w:br/>
      </w:r>
    </w:p>
    <w:p>
      <w:pPr>
        <w:pStyle w:val="null3"/>
        <w:jc w:val="center"/>
        <w:outlineLvl w:val="2"/>
      </w:pPr>
      <w:r>
        <w:rPr>
          <w:sz w:val="28"/>
          <w:b/>
        </w:rPr>
        <w:t>投标人：（填写“全称”）</w:t>
      </w:r>
    </w:p>
    <w:p>
      <w:pPr>
        <w:pStyle w:val="null3"/>
        <w:jc w:val="center"/>
        <w:outlineLvl w:val="2"/>
      </w:pPr>
      <w:r>
        <w:rPr>
          <w:sz w:val="28"/>
          <w:b/>
        </w:rPr>
        <w:t>（由投标人填写）年（由投标人填写）月</w:t>
      </w:r>
    </w:p>
    <w:p>
      <w:pPr>
        <w:pStyle w:val="null3"/>
      </w:pPr>
      <w:r>
        <w:rPr/>
        <w:t xml:space="preserve"> </w:t>
        <w:br/>
        <w:br w:type="page"/>
      </w:r>
    </w:p>
    <w:p>
      <w:pPr>
        <w:pStyle w:val="null3"/>
        <w:jc w:val="center"/>
        <w:outlineLvl w:val="2"/>
      </w:pPr>
      <w:r>
        <w:rPr>
          <w:sz w:val="28"/>
          <w:b/>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sz w:val="28"/>
          <w:b/>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sz w:val="28"/>
          <w:b/>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